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7B5147">
        <w:rPr>
          <w:rFonts w:ascii="Arial" w:eastAsia="宋体" w:hAnsi="Arial" w:cs="Arial" w:hint="eastAsia"/>
          <w:b/>
          <w:bCs/>
          <w:sz w:val="24"/>
          <w:lang w:eastAsia="zh-CN"/>
        </w:rPr>
        <w:t>2</w:t>
      </w:r>
      <w:r w:rsidR="00962645">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7B5147">
        <w:rPr>
          <w:rStyle w:val="afd"/>
          <w:rFonts w:ascii="Arial" w:eastAsia="宋体" w:hAnsi="Arial" w:cs="Arial" w:hint="eastAsia"/>
          <w:lang w:eastAsia="zh-CN"/>
        </w:rPr>
        <w:t>1</w:t>
      </w:r>
      <w:r w:rsidR="00E75D2C">
        <w:rPr>
          <w:rStyle w:val="afd"/>
          <w:rFonts w:ascii="Arial" w:eastAsia="宋体" w:hAnsi="Arial" w:cs="Arial" w:hint="eastAsia"/>
          <w:lang w:eastAsia="zh-CN"/>
        </w:rPr>
        <w:t>5167</w:t>
      </w:r>
    </w:p>
    <w:p w:rsidR="000778EB" w:rsidRPr="00FE7326" w:rsidRDefault="00962645"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66793C">
        <w:rPr>
          <w:rFonts w:ascii="Arial" w:hAnsi="Arial" w:cs="Arial"/>
          <w:b/>
          <w:bCs/>
          <w:noProof/>
          <w:sz w:val="24"/>
          <w:szCs w:val="24"/>
          <w:lang w:eastAsia="ja-JP"/>
        </w:rPr>
        <w:t xml:space="preserve"> </w:t>
      </w:r>
      <w:r w:rsidR="007B5147">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5276B7">
        <w:rPr>
          <w:rFonts w:ascii="Arial" w:hAnsi="Arial" w:cs="Arial" w:hint="eastAsia"/>
          <w:b w:val="0"/>
        </w:rPr>
        <w:t>Performance</w:t>
      </w:r>
      <w:r w:rsidR="00144475">
        <w:rPr>
          <w:rFonts w:ascii="Arial" w:hAnsi="Arial" w:cs="Arial" w:hint="eastAsia"/>
          <w:b w:val="0"/>
        </w:rPr>
        <w:t xml:space="preserve"> requirements of </w:t>
      </w:r>
      <w:r>
        <w:rPr>
          <w:rFonts w:ascii="Arial" w:hAnsi="Arial" w:cs="Arial" w:hint="eastAsia"/>
          <w:b w:val="0"/>
        </w:rPr>
        <w:t xml:space="preserve">RedCap UE </w:t>
      </w:r>
      <w:r w:rsidR="00C27252">
        <w:rPr>
          <w:rFonts w:ascii="Arial" w:hAnsi="Arial" w:cs="Arial" w:hint="eastAsia"/>
          <w:b w:val="0"/>
        </w:rPr>
        <w:t>p</w:t>
      </w:r>
      <w:r w:rsidR="00E87C78">
        <w:rPr>
          <w:rFonts w:ascii="Arial" w:hAnsi="Arial" w:cs="Arial" w:hint="eastAsia"/>
          <w:b w:val="0"/>
        </w:rPr>
        <w:t>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31F0B" w:rsidRPr="00B31F0B">
        <w:rPr>
          <w:rStyle w:val="afd"/>
          <w:rFonts w:ascii="Arial" w:eastAsiaTheme="minorEastAsia" w:hAnsi="Arial" w:cs="Arial" w:hint="eastAsia"/>
        </w:rPr>
        <w:t>4</w:t>
      </w:r>
      <w:r w:rsidRPr="00B31F0B">
        <w:rPr>
          <w:rStyle w:val="afd"/>
          <w:rFonts w:ascii="Arial" w:hAnsi="Arial" w:cs="Arial" w:hint="eastAsia"/>
        </w:rPr>
        <w:t>.</w:t>
      </w:r>
      <w:r w:rsidR="00B31F0B" w:rsidRPr="00B31F0B">
        <w:rPr>
          <w:rStyle w:val="afd"/>
          <w:rFonts w:ascii="Arial" w:eastAsiaTheme="minorEastAsia" w:hAnsi="Arial" w:cs="Arial" w:hint="eastAsia"/>
        </w:rPr>
        <w:t>2</w:t>
      </w:r>
      <w:r w:rsidRPr="00B31F0B">
        <w:rPr>
          <w:rStyle w:val="afd"/>
          <w:rFonts w:ascii="Arial" w:hAnsi="Arial" w:cs="Arial" w:hint="eastAsia"/>
        </w:rPr>
        <w:t>.</w:t>
      </w:r>
      <w:r w:rsidR="0016606B" w:rsidRPr="00B31F0B">
        <w:rPr>
          <w:rStyle w:val="afd"/>
          <w:rFonts w:ascii="Arial" w:eastAsiaTheme="minorEastAsia" w:hAnsi="Arial" w:cs="Arial" w:hint="eastAsia"/>
        </w:rPr>
        <w:t>2</w:t>
      </w:r>
      <w:r w:rsidRPr="00B31F0B">
        <w:rPr>
          <w:rStyle w:val="afd"/>
          <w:rFonts w:ascii="Arial" w:hAnsi="Arial" w:cs="Arial" w:hint="eastAsia"/>
        </w:rPr>
        <w:t>.</w:t>
      </w:r>
      <w:r w:rsidR="00A50C61" w:rsidRPr="00B31F0B">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41410" w:rsidRDefault="000778EB" w:rsidP="0083383F">
      <w:pPr>
        <w:jc w:val="both"/>
        <w:rPr>
          <w:rFonts w:eastAsiaTheme="minorEastAsia"/>
          <w:lang w:val="en-US" w:eastAsia="zh-CN"/>
        </w:rPr>
      </w:pPr>
      <w:r w:rsidRPr="00741410">
        <w:rPr>
          <w:rFonts w:eastAsia="宋体" w:hint="eastAsia"/>
          <w:lang w:val="en-US" w:eastAsia="zh-CN"/>
        </w:rPr>
        <w:t>In RAN4#1</w:t>
      </w:r>
      <w:r w:rsidR="00741410" w:rsidRPr="00741410">
        <w:rPr>
          <w:rFonts w:eastAsia="宋体" w:hint="eastAsia"/>
          <w:lang w:val="en-US" w:eastAsia="zh-CN"/>
        </w:rPr>
        <w:t>1</w:t>
      </w:r>
      <w:r w:rsidR="00C04239">
        <w:rPr>
          <w:rFonts w:eastAsia="宋体" w:hint="eastAsia"/>
          <w:lang w:val="en-US" w:eastAsia="zh-CN"/>
        </w:rPr>
        <w:t>2</w:t>
      </w:r>
      <w:r w:rsidR="00C74AD8" w:rsidRPr="00741410">
        <w:rPr>
          <w:rFonts w:eastAsia="宋体" w:hint="eastAsia"/>
          <w:lang w:val="en-US" w:eastAsia="zh-CN"/>
        </w:rPr>
        <w:t xml:space="preserve"> meeting</w:t>
      </w:r>
      <w:r w:rsidRPr="00741410">
        <w:rPr>
          <w:rFonts w:eastAsia="宋体" w:hint="eastAsia"/>
          <w:lang w:val="en-US" w:eastAsia="zh-CN"/>
        </w:rPr>
        <w:t>,</w:t>
      </w:r>
      <w:r w:rsidR="000B2CF7" w:rsidRPr="00741410">
        <w:rPr>
          <w:rFonts w:eastAsia="宋体" w:hint="eastAsia"/>
          <w:lang w:val="en-US" w:eastAsia="zh-CN"/>
        </w:rPr>
        <w:t xml:space="preserve"> </w:t>
      </w:r>
      <w:r w:rsidR="00B13A91">
        <w:rPr>
          <w:rFonts w:eastAsiaTheme="minorEastAsia" w:hint="eastAsia"/>
          <w:lang w:val="en-US" w:eastAsia="zh-CN"/>
        </w:rPr>
        <w:t>fruitful progress</w:t>
      </w:r>
      <w:r w:rsidR="007B6CEC" w:rsidRPr="00741410">
        <w:rPr>
          <w:rFonts w:eastAsiaTheme="minorEastAsia" w:hint="eastAsia"/>
          <w:lang w:val="en-US" w:eastAsia="zh-CN"/>
        </w:rPr>
        <w:t xml:space="preserve"> </w:t>
      </w:r>
      <w:r w:rsidR="00741410" w:rsidRPr="00741410">
        <w:rPr>
          <w:rFonts w:eastAsiaTheme="minorEastAsia" w:hint="eastAsia"/>
          <w:lang w:val="en-US" w:eastAsia="zh-CN"/>
        </w:rPr>
        <w:t>regarding</w:t>
      </w:r>
      <w:r w:rsidR="00D54ABF" w:rsidRPr="00741410">
        <w:rPr>
          <w:rFonts w:eastAsiaTheme="minorEastAsia" w:hint="eastAsia"/>
          <w:lang w:val="en-US" w:eastAsia="zh-CN"/>
        </w:rPr>
        <w:t xml:space="preserve"> the </w:t>
      </w:r>
      <w:r w:rsidR="003D1CD2">
        <w:rPr>
          <w:rFonts w:eastAsiaTheme="minorEastAsia" w:hint="eastAsia"/>
          <w:lang w:val="en-US" w:eastAsia="zh-CN"/>
        </w:rPr>
        <w:t>p</w:t>
      </w:r>
      <w:r w:rsidR="00D54ABF" w:rsidRPr="00741410">
        <w:rPr>
          <w:rFonts w:eastAsiaTheme="minorEastAsia" w:hint="eastAsia"/>
          <w:lang w:val="en-US" w:eastAsia="zh-CN"/>
        </w:rPr>
        <w:t xml:space="preserve">erformance </w:t>
      </w:r>
      <w:r w:rsidR="00824645" w:rsidRPr="00741410">
        <w:rPr>
          <w:rFonts w:eastAsiaTheme="minorEastAsia" w:hint="eastAsia"/>
          <w:lang w:val="en-US" w:eastAsia="zh-CN"/>
        </w:rPr>
        <w:t>requirements</w:t>
      </w:r>
      <w:r w:rsidR="00741410" w:rsidRPr="00741410">
        <w:rPr>
          <w:rFonts w:eastAsiaTheme="minorEastAsia" w:hint="eastAsia"/>
          <w:lang w:val="en-US" w:eastAsia="zh-CN"/>
        </w:rPr>
        <w:t xml:space="preserve"> </w:t>
      </w:r>
      <w:r w:rsidR="00B13A91">
        <w:rPr>
          <w:rFonts w:eastAsiaTheme="minorEastAsia" w:hint="eastAsia"/>
          <w:lang w:val="en-US" w:eastAsia="zh-CN"/>
        </w:rPr>
        <w:t>was</w:t>
      </w:r>
      <w:r w:rsidR="00741410" w:rsidRPr="00741410">
        <w:rPr>
          <w:rFonts w:eastAsiaTheme="minorEastAsia" w:hint="eastAsia"/>
          <w:lang w:val="en-US" w:eastAsia="zh-CN"/>
        </w:rPr>
        <w:t xml:space="preserve"> achieved which </w:t>
      </w:r>
      <w:r w:rsidR="00785C26">
        <w:rPr>
          <w:rFonts w:eastAsiaTheme="minorEastAsia" w:hint="eastAsia"/>
          <w:lang w:val="en-US" w:eastAsia="zh-CN"/>
        </w:rPr>
        <w:t>was</w:t>
      </w:r>
      <w:r w:rsidR="00785C26" w:rsidRPr="00741410">
        <w:rPr>
          <w:rFonts w:eastAsiaTheme="minorEastAsia" w:hint="eastAsia"/>
          <w:lang w:val="en-US" w:eastAsia="zh-CN"/>
        </w:rPr>
        <w:t xml:space="preserve"> </w:t>
      </w:r>
      <w:r w:rsidR="00741410" w:rsidRPr="00741410">
        <w:rPr>
          <w:rFonts w:eastAsiaTheme="minorEastAsia" w:hint="eastAsia"/>
          <w:lang w:val="en-US" w:eastAsia="zh-CN"/>
        </w:rPr>
        <w:t>captured in t</w:t>
      </w:r>
      <w:r w:rsidR="00D76B03" w:rsidRPr="00741410">
        <w:rPr>
          <w:rFonts w:eastAsiaTheme="minorEastAsia" w:hint="eastAsia"/>
          <w:lang w:val="en-US" w:eastAsia="zh-CN"/>
        </w:rPr>
        <w:t xml:space="preserve">he WF </w:t>
      </w:r>
      <w:r w:rsidR="00C74AD8" w:rsidRPr="00741410">
        <w:rPr>
          <w:rFonts w:hint="eastAsia"/>
          <w:lang w:val="en-US" w:eastAsia="zh-CN"/>
        </w:rPr>
        <w:t>[1]</w:t>
      </w:r>
      <w:r w:rsidR="00C34B39">
        <w:rPr>
          <w:rFonts w:eastAsiaTheme="minorEastAsia" w:hint="eastAsia"/>
          <w:lang w:val="en-US" w:eastAsia="zh-CN"/>
        </w:rPr>
        <w:t xml:space="preserve"> and Rel-18 Positioning WI was successfully closed</w:t>
      </w:r>
      <w:r w:rsidR="00C74AD8" w:rsidRPr="00741410">
        <w:rPr>
          <w:rFonts w:hint="eastAsia"/>
          <w:lang w:val="en-US" w:eastAsia="zh-CN"/>
        </w:rPr>
        <w:t>.</w:t>
      </w:r>
      <w:r w:rsidR="007E471C" w:rsidRPr="00741410">
        <w:rPr>
          <w:rFonts w:eastAsiaTheme="minorEastAsia" w:hint="eastAsia"/>
          <w:lang w:val="en-US" w:eastAsia="zh-CN"/>
        </w:rPr>
        <w:t xml:space="preserve"> </w:t>
      </w:r>
      <w:r w:rsidR="00C34B39">
        <w:rPr>
          <w:rFonts w:eastAsiaTheme="minorEastAsia" w:hint="eastAsia"/>
          <w:lang w:val="en-US" w:eastAsia="zh-CN"/>
        </w:rPr>
        <w:t xml:space="preserve">However, there are some issues which need further discussions. </w:t>
      </w:r>
      <w:r w:rsidR="007E471C" w:rsidRPr="00741410">
        <w:rPr>
          <w:rFonts w:eastAsiaTheme="minorEastAsia" w:hint="eastAsia"/>
          <w:lang w:val="en-US" w:eastAsia="zh-CN"/>
        </w:rPr>
        <w:t xml:space="preserve">In this </w:t>
      </w:r>
      <w:r w:rsidR="00C34B39">
        <w:rPr>
          <w:rFonts w:eastAsiaTheme="minorEastAsia" w:hint="eastAsia"/>
          <w:lang w:val="en-US" w:eastAsia="zh-CN"/>
        </w:rPr>
        <w:t>contribution</w:t>
      </w:r>
      <w:r w:rsidR="007E471C" w:rsidRPr="00741410">
        <w:rPr>
          <w:rFonts w:eastAsiaTheme="minorEastAsia" w:hint="eastAsia"/>
          <w:lang w:val="en-US" w:eastAsia="zh-CN"/>
        </w:rPr>
        <w:t xml:space="preserve">, we </w:t>
      </w:r>
      <w:r w:rsidR="00BB0680" w:rsidRPr="00741410">
        <w:rPr>
          <w:rFonts w:eastAsiaTheme="minorEastAsia" w:hint="eastAsia"/>
          <w:lang w:val="en-US" w:eastAsia="zh-CN"/>
        </w:rPr>
        <w:t xml:space="preserve">will </w:t>
      </w:r>
      <w:r w:rsidR="00F34EF4" w:rsidRPr="00741410">
        <w:rPr>
          <w:rFonts w:eastAsiaTheme="minorEastAsia" w:hint="eastAsia"/>
          <w:lang w:val="en-US" w:eastAsia="zh-CN"/>
        </w:rPr>
        <w:t>discuss</w:t>
      </w:r>
      <w:r w:rsidR="007E471C" w:rsidRPr="00741410">
        <w:rPr>
          <w:rFonts w:eastAsiaTheme="minorEastAsia" w:hint="eastAsia"/>
          <w:lang w:val="en-US" w:eastAsia="zh-CN"/>
        </w:rPr>
        <w:t xml:space="preserve"> </w:t>
      </w:r>
      <w:r w:rsidR="00C34B39">
        <w:rPr>
          <w:rFonts w:eastAsiaTheme="minorEastAsia" w:hint="eastAsia"/>
          <w:lang w:val="en-US" w:eastAsia="zh-CN"/>
        </w:rPr>
        <w:t>these</w:t>
      </w:r>
      <w:r w:rsidR="00741410" w:rsidRPr="00741410">
        <w:rPr>
          <w:rFonts w:eastAsiaTheme="minorEastAsia" w:hint="eastAsia"/>
          <w:lang w:val="en-US" w:eastAsia="zh-CN"/>
        </w:rPr>
        <w:t xml:space="preserve"> </w:t>
      </w:r>
      <w:r w:rsidR="00C34B39" w:rsidRPr="00741410">
        <w:rPr>
          <w:rFonts w:eastAsiaTheme="minorEastAsia" w:hint="eastAsia"/>
          <w:lang w:val="en-US" w:eastAsia="zh-CN"/>
        </w:rPr>
        <w:t xml:space="preserve">performance </w:t>
      </w:r>
      <w:r w:rsidR="00741410" w:rsidRPr="00741410">
        <w:rPr>
          <w:rFonts w:eastAsiaTheme="minorEastAsia" w:hint="eastAsia"/>
          <w:lang w:val="en-US" w:eastAsia="zh-CN"/>
        </w:rPr>
        <w:t>issues</w:t>
      </w:r>
      <w:r w:rsidR="007E471C" w:rsidRPr="00741410">
        <w:rPr>
          <w:rFonts w:eastAsiaTheme="minorEastAsia" w:hint="eastAsia"/>
          <w:lang w:val="en-US" w:eastAsia="zh-CN"/>
        </w:rPr>
        <w:t>.</w:t>
      </w:r>
      <w:r w:rsidR="00785C26">
        <w:rPr>
          <w:rFonts w:eastAsiaTheme="minorEastAsia" w:hint="eastAsia"/>
          <w:lang w:val="en-US" w:eastAsia="zh-CN"/>
        </w:rPr>
        <w:t xml:space="preserve"> </w:t>
      </w:r>
      <w:bookmarkStart w:id="1" w:name="_GoBack"/>
      <w:bookmarkEnd w:id="1"/>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BA187B" w:rsidRPr="00AA1DB0" w:rsidRDefault="00354F48" w:rsidP="002E112F">
      <w:pPr>
        <w:pStyle w:val="2"/>
        <w:tabs>
          <w:tab w:val="num" w:pos="456"/>
        </w:tabs>
        <w:spacing w:before="240" w:after="240"/>
        <w:ind w:left="0" w:firstLine="0"/>
        <w:jc w:val="both"/>
        <w:rPr>
          <w:rFonts w:eastAsiaTheme="minorEastAsia"/>
          <w:lang w:eastAsia="zh-CN"/>
        </w:rPr>
      </w:pPr>
      <w:r w:rsidRPr="00AA1DB0">
        <w:rPr>
          <w:rFonts w:eastAsiaTheme="minorEastAsia" w:hint="eastAsia"/>
          <w:lang w:eastAsia="zh-CN"/>
        </w:rPr>
        <w:t>Group delay calibration margin for RedCap positioning</w:t>
      </w:r>
    </w:p>
    <w:p w:rsidR="007008C3" w:rsidRDefault="00AA1DB0" w:rsidP="00F07B69">
      <w:pPr>
        <w:spacing w:beforeLines="50" w:before="120" w:afterLines="50" w:after="120"/>
        <w:jc w:val="both"/>
        <w:rPr>
          <w:rFonts w:eastAsiaTheme="minorEastAsia"/>
          <w:lang w:eastAsia="zh-CN"/>
        </w:rPr>
      </w:pPr>
      <w:r>
        <w:rPr>
          <w:rFonts w:eastAsiaTheme="minorEastAsia" w:hint="eastAsia"/>
          <w:lang w:eastAsia="zh-CN"/>
        </w:rPr>
        <w:t xml:space="preserve">The measurement accuracy requirements were defined in the last meeting while group delay calibration margins for RSTD and Rx-Tx time difference measurements are not </w:t>
      </w:r>
      <w:r w:rsidR="00C72901">
        <w:rPr>
          <w:rFonts w:eastAsiaTheme="minorEastAsia" w:hint="eastAsia"/>
          <w:lang w:eastAsia="zh-CN"/>
        </w:rPr>
        <w:t xml:space="preserve">completely </w:t>
      </w:r>
      <w:r>
        <w:rPr>
          <w:rFonts w:eastAsiaTheme="minorEastAsia" w:hint="eastAsia"/>
          <w:lang w:eastAsia="zh-CN"/>
        </w:rPr>
        <w:t xml:space="preserve">determined yet. </w:t>
      </w:r>
      <w:r w:rsidR="00C72901">
        <w:rPr>
          <w:rFonts w:eastAsiaTheme="minorEastAsia" w:hint="eastAsia"/>
          <w:lang w:eastAsia="zh-CN"/>
        </w:rPr>
        <w:t xml:space="preserve">The main issue is whether an additional margin is needed for FH cases. </w:t>
      </w:r>
      <w:r w:rsidR="004646E4">
        <w:rPr>
          <w:rFonts w:eastAsiaTheme="minorEastAsia" w:hint="eastAsia"/>
          <w:lang w:eastAsia="zh-CN"/>
        </w:rPr>
        <w:t xml:space="preserve">The related agreements are copied below: </w:t>
      </w:r>
    </w:p>
    <w:tbl>
      <w:tblPr>
        <w:tblStyle w:val="af4"/>
        <w:tblW w:w="0" w:type="auto"/>
        <w:tblLook w:val="04A0" w:firstRow="1" w:lastRow="0" w:firstColumn="1" w:lastColumn="0" w:noHBand="0" w:noVBand="1"/>
      </w:tblPr>
      <w:tblGrid>
        <w:gridCol w:w="9847"/>
      </w:tblGrid>
      <w:tr w:rsidR="004646E4" w:rsidTr="004646E4">
        <w:tc>
          <w:tcPr>
            <w:tcW w:w="9847" w:type="dxa"/>
          </w:tcPr>
          <w:p w:rsidR="004646E4" w:rsidRPr="004646E4" w:rsidRDefault="004646E4" w:rsidP="004646E4">
            <w:pPr>
              <w:spacing w:beforeLines="50" w:before="120" w:afterLines="50" w:after="120"/>
              <w:rPr>
                <w:b/>
                <w:bCs/>
              </w:rPr>
            </w:pPr>
            <w:r w:rsidRPr="004646E4">
              <w:rPr>
                <w:b/>
                <w:bCs/>
              </w:rPr>
              <w:t>Agreement:</w:t>
            </w:r>
          </w:p>
          <w:p w:rsidR="004646E4" w:rsidRPr="004646E4" w:rsidRDefault="004646E4" w:rsidP="004646E4">
            <w:pPr>
              <w:pStyle w:val="af8"/>
              <w:widowControl w:val="0"/>
              <w:numPr>
                <w:ilvl w:val="0"/>
                <w:numId w:val="25"/>
              </w:numPr>
              <w:spacing w:after="120"/>
              <w:contextualSpacing w:val="0"/>
              <w:jc w:val="both"/>
              <w:rPr>
                <w:rFonts w:eastAsia="宋体"/>
                <w:sz w:val="20"/>
                <w:szCs w:val="20"/>
              </w:rPr>
            </w:pPr>
            <w:r w:rsidRPr="004646E4">
              <w:rPr>
                <w:rFonts w:eastAsia="宋体"/>
                <w:sz w:val="20"/>
                <w:szCs w:val="20"/>
              </w:rPr>
              <w:t>RAN4 to use the following assumptions for group delay calibration margin for RedCap</w:t>
            </w:r>
          </w:p>
          <w:p w:rsidR="004646E4" w:rsidRPr="004646E4" w:rsidRDefault="004646E4" w:rsidP="004646E4">
            <w:pPr>
              <w:pStyle w:val="af8"/>
              <w:widowControl w:val="0"/>
              <w:numPr>
                <w:ilvl w:val="1"/>
                <w:numId w:val="25"/>
              </w:numPr>
              <w:spacing w:after="120"/>
              <w:contextualSpacing w:val="0"/>
              <w:jc w:val="both"/>
              <w:rPr>
                <w:rFonts w:eastAsia="宋体"/>
                <w:sz w:val="20"/>
                <w:szCs w:val="20"/>
              </w:rPr>
            </w:pPr>
            <w:r w:rsidRPr="004646E4">
              <w:rPr>
                <w:rFonts w:eastAsia="宋体"/>
                <w:sz w:val="20"/>
                <w:szCs w:val="20"/>
              </w:rPr>
              <w:t>Non-FH: existing values for non-RedCap for the applicable BW.</w:t>
            </w:r>
          </w:p>
          <w:p w:rsidR="004646E4" w:rsidRPr="004646E4" w:rsidRDefault="004646E4" w:rsidP="004646E4">
            <w:pPr>
              <w:pStyle w:val="af8"/>
              <w:widowControl w:val="0"/>
              <w:numPr>
                <w:ilvl w:val="1"/>
                <w:numId w:val="25"/>
              </w:numPr>
              <w:spacing w:after="120"/>
              <w:contextualSpacing w:val="0"/>
              <w:jc w:val="both"/>
              <w:rPr>
                <w:rFonts w:eastAsia="宋体"/>
              </w:rPr>
            </w:pPr>
            <w:r w:rsidRPr="004646E4">
              <w:rPr>
                <w:rFonts w:eastAsia="宋体" w:hint="eastAsia"/>
                <w:sz w:val="20"/>
                <w:szCs w:val="20"/>
              </w:rPr>
              <w:t>F</w:t>
            </w:r>
            <w:r w:rsidRPr="004646E4">
              <w:rPr>
                <w:rFonts w:eastAsia="宋体"/>
                <w:sz w:val="20"/>
                <w:szCs w:val="20"/>
              </w:rPr>
              <w:t>H: existing values for non-RedCap for per-hop BW [FFS: plus an extra margin (value TBD)].</w:t>
            </w:r>
          </w:p>
        </w:tc>
      </w:tr>
    </w:tbl>
    <w:p w:rsidR="004646E4" w:rsidRDefault="005916F8" w:rsidP="00F07B69">
      <w:pPr>
        <w:spacing w:beforeLines="50" w:before="120" w:afterLines="50" w:after="120"/>
        <w:jc w:val="both"/>
        <w:rPr>
          <w:rFonts w:eastAsiaTheme="minorEastAsia"/>
          <w:lang w:eastAsia="zh-CN"/>
        </w:rPr>
      </w:pPr>
      <w:r>
        <w:rPr>
          <w:rFonts w:eastAsiaTheme="minorEastAsia" w:hint="eastAsia"/>
          <w:lang w:eastAsia="zh-CN"/>
        </w:rPr>
        <w:t xml:space="preserve">Proponents suggested that the </w:t>
      </w:r>
      <w:r w:rsidR="00E04500">
        <w:rPr>
          <w:rFonts w:eastAsiaTheme="minorEastAsia" w:hint="eastAsia"/>
          <w:lang w:eastAsia="zh-CN"/>
        </w:rPr>
        <w:t>applicable</w:t>
      </w:r>
      <w:r>
        <w:rPr>
          <w:rFonts w:eastAsiaTheme="minorEastAsia" w:hint="eastAsia"/>
          <w:lang w:eastAsia="zh-CN"/>
        </w:rPr>
        <w:t xml:space="preserve"> calibration margin values </w:t>
      </w:r>
      <w:r w:rsidR="00E04500">
        <w:rPr>
          <w:rFonts w:eastAsiaTheme="minorEastAsia" w:hint="eastAsia"/>
          <w:lang w:eastAsia="zh-CN"/>
        </w:rPr>
        <w:t>are limited</w:t>
      </w:r>
      <w:r>
        <w:rPr>
          <w:rFonts w:eastAsiaTheme="minorEastAsia" w:hint="eastAsia"/>
          <w:lang w:eastAsia="zh-CN"/>
        </w:rPr>
        <w:t xml:space="preserve"> </w:t>
      </w:r>
      <w:r w:rsidR="00E04500">
        <w:rPr>
          <w:rFonts w:eastAsiaTheme="minorEastAsia" w:hint="eastAsia"/>
          <w:lang w:eastAsia="zh-CN"/>
        </w:rPr>
        <w:t>by</w:t>
      </w:r>
      <w:r>
        <w:rPr>
          <w:rFonts w:eastAsiaTheme="minorEastAsia" w:hint="eastAsia"/>
          <w:lang w:eastAsia="zh-CN"/>
        </w:rPr>
        <w:t xml:space="preserve"> the per-hop BW because the UE</w:t>
      </w:r>
      <w:r>
        <w:rPr>
          <w:rFonts w:eastAsiaTheme="minorEastAsia"/>
          <w:lang w:eastAsia="zh-CN"/>
        </w:rPr>
        <w:t>’</w:t>
      </w:r>
      <w:r>
        <w:rPr>
          <w:rFonts w:eastAsiaTheme="minorEastAsia" w:hint="eastAsia"/>
          <w:lang w:eastAsia="zh-CN"/>
        </w:rPr>
        <w:t xml:space="preserve">s hardware capabilities are </w:t>
      </w:r>
      <w:r>
        <w:rPr>
          <w:rFonts w:eastAsiaTheme="minorEastAsia"/>
          <w:lang w:eastAsia="zh-CN"/>
        </w:rPr>
        <w:t>st</w:t>
      </w:r>
      <w:r>
        <w:rPr>
          <w:rFonts w:eastAsiaTheme="minorEastAsia" w:hint="eastAsia"/>
          <w:lang w:eastAsia="zh-CN"/>
        </w:rPr>
        <w:t xml:space="preserve">ill </w:t>
      </w:r>
      <w:r w:rsidR="00E04500">
        <w:rPr>
          <w:rFonts w:eastAsiaTheme="minorEastAsia"/>
          <w:lang w:eastAsia="zh-CN"/>
        </w:rPr>
        <w:t>limited</w:t>
      </w:r>
      <w:r w:rsidR="00D74B16">
        <w:rPr>
          <w:rFonts w:eastAsiaTheme="minorEastAsia" w:hint="eastAsia"/>
          <w:lang w:eastAsia="zh-CN"/>
        </w:rPr>
        <w:t xml:space="preserve"> and additional margins may be needed since </w:t>
      </w:r>
      <w:r w:rsidR="00E04500">
        <w:rPr>
          <w:rFonts w:eastAsiaTheme="minorEastAsia" w:hint="eastAsia"/>
          <w:lang w:eastAsia="zh-CN"/>
        </w:rPr>
        <w:t>UE</w:t>
      </w:r>
      <w:r w:rsidR="00E04500">
        <w:rPr>
          <w:rFonts w:eastAsiaTheme="minorEastAsia"/>
          <w:lang w:eastAsia="zh-CN"/>
        </w:rPr>
        <w:t>’</w:t>
      </w:r>
      <w:r w:rsidR="00E04500">
        <w:rPr>
          <w:rFonts w:eastAsiaTheme="minorEastAsia" w:hint="eastAsia"/>
          <w:lang w:eastAsia="zh-CN"/>
        </w:rPr>
        <w:t xml:space="preserve">s </w:t>
      </w:r>
      <w:r w:rsidR="00D74B16">
        <w:rPr>
          <w:rFonts w:eastAsiaTheme="minorEastAsia" w:hint="eastAsia"/>
          <w:lang w:eastAsia="zh-CN"/>
        </w:rPr>
        <w:t xml:space="preserve">Rx chain works in different </w:t>
      </w:r>
      <w:r w:rsidR="00D74B16">
        <w:rPr>
          <w:rFonts w:eastAsiaTheme="minorEastAsia"/>
          <w:lang w:eastAsia="zh-CN"/>
        </w:rPr>
        <w:t>frequencies</w:t>
      </w:r>
      <w:r w:rsidR="00D74B16">
        <w:rPr>
          <w:rFonts w:eastAsiaTheme="minorEastAsia" w:hint="eastAsia"/>
          <w:lang w:eastAsia="zh-CN"/>
        </w:rPr>
        <w:t xml:space="preserve"> within one PFL. </w:t>
      </w:r>
      <w:r w:rsidR="00E04500">
        <w:rPr>
          <w:rFonts w:eastAsiaTheme="minorEastAsia" w:hint="eastAsia"/>
          <w:lang w:eastAsia="zh-CN"/>
        </w:rPr>
        <w:t xml:space="preserve">From measurement point of view, each measurement is performed based on the per-hop BW, therefore it is reasonable to use the margin corresponding to the per-hop BW for the final </w:t>
      </w:r>
      <w:r w:rsidR="00E04500">
        <w:rPr>
          <w:rFonts w:eastAsiaTheme="minorEastAsia"/>
          <w:lang w:eastAsia="zh-CN"/>
        </w:rPr>
        <w:t>measurement</w:t>
      </w:r>
      <w:r w:rsidR="00E04500">
        <w:rPr>
          <w:rFonts w:eastAsiaTheme="minorEastAsia" w:hint="eastAsia"/>
          <w:lang w:eastAsia="zh-CN"/>
        </w:rPr>
        <w:t xml:space="preserve"> result after frequency hopping. </w:t>
      </w:r>
    </w:p>
    <w:p w:rsidR="00A44ADB" w:rsidRDefault="00A44ADB" w:rsidP="00F07B69">
      <w:pPr>
        <w:spacing w:beforeLines="50" w:before="120" w:afterLines="50" w:after="120"/>
        <w:jc w:val="both"/>
        <w:rPr>
          <w:rFonts w:eastAsiaTheme="minorEastAsia"/>
          <w:lang w:eastAsia="zh-CN"/>
        </w:rPr>
      </w:pPr>
      <w:r>
        <w:rPr>
          <w:rFonts w:eastAsiaTheme="minorEastAsia" w:hint="eastAsia"/>
          <w:lang w:eastAsia="zh-CN"/>
        </w:rPr>
        <w:t xml:space="preserve">Regarding the need for additional margins, considering the margin </w:t>
      </w:r>
      <w:r>
        <w:rPr>
          <w:rFonts w:eastAsiaTheme="minorEastAsia"/>
          <w:lang w:eastAsia="zh-CN"/>
        </w:rPr>
        <w:t>value</w:t>
      </w:r>
      <w:r>
        <w:rPr>
          <w:rFonts w:eastAsiaTheme="minorEastAsia" w:hint="eastAsia"/>
          <w:lang w:eastAsia="zh-CN"/>
        </w:rPr>
        <w:t xml:space="preserve"> corresponding to per-hop BW is larger than that corresponding to the total BW after FH, the jitter due to Rx chain calibration within single PFL could be covered by the large margin values. Therefore no additional margin is added on top of legacy margin values. </w:t>
      </w:r>
    </w:p>
    <w:p w:rsidR="004646E4" w:rsidRPr="00A44ADB" w:rsidRDefault="00A44ADB" w:rsidP="00F07B69">
      <w:pPr>
        <w:spacing w:beforeLines="50" w:before="120" w:afterLines="50" w:after="120"/>
        <w:jc w:val="both"/>
        <w:rPr>
          <w:rFonts w:eastAsiaTheme="minorEastAsia"/>
          <w:b/>
          <w:lang w:eastAsia="zh-CN"/>
        </w:rPr>
      </w:pPr>
      <w:r w:rsidRPr="007A1890">
        <w:rPr>
          <w:rFonts w:eastAsiaTheme="minorEastAsia" w:hint="eastAsia"/>
          <w:b/>
          <w:lang w:eastAsia="zh-CN"/>
        </w:rPr>
        <w:t xml:space="preserve">Proposal 1: Clarify that margin </w:t>
      </w:r>
      <w:r w:rsidRPr="007A1890">
        <w:rPr>
          <w:rFonts w:eastAsiaTheme="minorEastAsia"/>
          <w:b/>
          <w:lang w:eastAsia="zh-CN"/>
        </w:rPr>
        <w:t>values</w:t>
      </w:r>
      <w:r w:rsidRPr="007A1890">
        <w:rPr>
          <w:rFonts w:eastAsiaTheme="minorEastAsia" w:hint="eastAsia"/>
          <w:b/>
          <w:lang w:eastAsia="zh-CN"/>
        </w:rPr>
        <w:t xml:space="preserve"> are limited by per-hop BW in performance requirements, and no </w:t>
      </w:r>
      <w:r w:rsidRPr="007A1890">
        <w:rPr>
          <w:rFonts w:eastAsiaTheme="minorEastAsia"/>
          <w:b/>
          <w:lang w:eastAsia="zh-CN"/>
        </w:rPr>
        <w:t>additional</w:t>
      </w:r>
      <w:r w:rsidRPr="007A1890">
        <w:rPr>
          <w:rFonts w:eastAsiaTheme="minorEastAsia" w:hint="eastAsia"/>
          <w:b/>
          <w:lang w:eastAsia="zh-CN"/>
        </w:rPr>
        <w:t xml:space="preserve"> margin is added on top of the legacy margin values.</w:t>
      </w:r>
      <w:r w:rsidRPr="00A44ADB">
        <w:rPr>
          <w:rFonts w:eastAsiaTheme="minorEastAsia" w:hint="eastAsia"/>
          <w:b/>
          <w:lang w:eastAsia="zh-CN"/>
        </w:rPr>
        <w:t xml:space="preserve"> </w:t>
      </w:r>
    </w:p>
    <w:p w:rsidR="00E508F3" w:rsidRDefault="00E508F3" w:rsidP="00E508F3">
      <w:pPr>
        <w:pStyle w:val="2"/>
        <w:tabs>
          <w:tab w:val="num" w:pos="456"/>
        </w:tabs>
        <w:spacing w:before="240" w:after="240"/>
        <w:ind w:left="0" w:firstLine="0"/>
        <w:jc w:val="both"/>
        <w:rPr>
          <w:rFonts w:eastAsiaTheme="minorEastAsia"/>
          <w:lang w:eastAsia="zh-CN"/>
        </w:rPr>
      </w:pPr>
      <w:r>
        <w:rPr>
          <w:rFonts w:eastAsiaTheme="minorEastAsia" w:hint="eastAsia"/>
          <w:lang w:eastAsia="zh-CN"/>
        </w:rPr>
        <w:t>PRS RMC for RedCap positioning TCs</w:t>
      </w:r>
    </w:p>
    <w:p w:rsidR="00E508F3" w:rsidRDefault="001C558A" w:rsidP="006F41C9">
      <w:pPr>
        <w:spacing w:beforeLines="50" w:before="120" w:afterLines="50" w:after="120"/>
        <w:jc w:val="both"/>
        <w:rPr>
          <w:rFonts w:eastAsiaTheme="minorEastAsia"/>
          <w:lang w:eastAsia="zh-CN"/>
        </w:rPr>
      </w:pPr>
      <w:r>
        <w:rPr>
          <w:rFonts w:eastAsiaTheme="minorEastAsia" w:hint="eastAsia"/>
          <w:lang w:eastAsia="zh-CN"/>
        </w:rPr>
        <w:t xml:space="preserve">One issue for RedCap positioning TCs is how to </w:t>
      </w:r>
      <w:r>
        <w:rPr>
          <w:rFonts w:eastAsiaTheme="minorEastAsia"/>
          <w:lang w:eastAsia="zh-CN"/>
        </w:rPr>
        <w:t>configur</w:t>
      </w:r>
      <w:r>
        <w:rPr>
          <w:rFonts w:eastAsiaTheme="minorEastAsia" w:hint="eastAsia"/>
          <w:lang w:eastAsia="zh-CN"/>
        </w:rPr>
        <w:t>e the bandwidths for RedCap UEs and cells since the legacy configurations may cause misunderstanding to TE vendors since in legacy TCs the same bandwidth applies for both DUT and cells.</w:t>
      </w:r>
      <w:r w:rsidR="00462AB0">
        <w:rPr>
          <w:rFonts w:eastAsiaTheme="minorEastAsia" w:hint="eastAsia"/>
          <w:lang w:eastAsia="zh-CN"/>
        </w:rPr>
        <w:t xml:space="preserve"> Some inputs from TE vendors were provided in the WF and reproduced below for reference: </w:t>
      </w:r>
    </w:p>
    <w:tbl>
      <w:tblPr>
        <w:tblStyle w:val="af4"/>
        <w:tblW w:w="0" w:type="auto"/>
        <w:tblLook w:val="04A0" w:firstRow="1" w:lastRow="0" w:firstColumn="1" w:lastColumn="0" w:noHBand="0" w:noVBand="1"/>
      </w:tblPr>
      <w:tblGrid>
        <w:gridCol w:w="9847"/>
      </w:tblGrid>
      <w:tr w:rsidR="00462AB0" w:rsidTr="00462AB0">
        <w:tc>
          <w:tcPr>
            <w:tcW w:w="9847" w:type="dxa"/>
          </w:tcPr>
          <w:p w:rsidR="00462AB0" w:rsidRPr="00462AB0" w:rsidRDefault="00462AB0" w:rsidP="00462AB0">
            <w:pPr>
              <w:spacing w:beforeLines="50" w:before="120" w:after="0" w:line="360" w:lineRule="auto"/>
            </w:pPr>
            <w:r w:rsidRPr="00462AB0">
              <w:rPr>
                <w:b/>
                <w:bCs/>
              </w:rPr>
              <w:t>Discussion in AH2</w:t>
            </w:r>
            <w:r w:rsidRPr="00462AB0">
              <w:t>:</w:t>
            </w:r>
          </w:p>
          <w:p w:rsidR="00462AB0" w:rsidRPr="00462AB0" w:rsidRDefault="00462AB0" w:rsidP="00462AB0">
            <w:pPr>
              <w:pStyle w:val="af8"/>
              <w:widowControl w:val="0"/>
              <w:numPr>
                <w:ilvl w:val="0"/>
                <w:numId w:val="25"/>
              </w:numPr>
              <w:spacing w:line="360" w:lineRule="auto"/>
              <w:contextualSpacing w:val="0"/>
              <w:jc w:val="both"/>
              <w:rPr>
                <w:rFonts w:eastAsia="宋体"/>
                <w:sz w:val="20"/>
                <w:szCs w:val="20"/>
              </w:rPr>
            </w:pPr>
            <w:r w:rsidRPr="00462AB0">
              <w:rPr>
                <w:rFonts w:eastAsia="宋体"/>
                <w:sz w:val="20"/>
                <w:szCs w:val="20"/>
              </w:rPr>
              <w:t>TE(R&amp;S) input on the earlier tentative agreement from AH1 [For PRS BW for FH TCs, consider the BW in test configuration as UE BW and allow cell BW to be larger.]:</w:t>
            </w:r>
          </w:p>
          <w:p w:rsidR="00462AB0" w:rsidRPr="00462AB0" w:rsidRDefault="00462AB0" w:rsidP="00462AB0">
            <w:pPr>
              <w:pStyle w:val="af8"/>
              <w:widowControl w:val="0"/>
              <w:numPr>
                <w:ilvl w:val="1"/>
                <w:numId w:val="25"/>
              </w:numPr>
              <w:spacing w:line="360" w:lineRule="auto"/>
              <w:contextualSpacing w:val="0"/>
              <w:jc w:val="both"/>
              <w:rPr>
                <w:rFonts w:eastAsia="宋体"/>
                <w:sz w:val="20"/>
                <w:szCs w:val="20"/>
              </w:rPr>
            </w:pPr>
            <w:r w:rsidRPr="00462AB0">
              <w:rPr>
                <w:rFonts w:eastAsia="宋体"/>
                <w:sz w:val="20"/>
                <w:szCs w:val="20"/>
              </w:rPr>
              <w:t>Different BWs for cell and UE have never been used</w:t>
            </w:r>
          </w:p>
          <w:p w:rsidR="00462AB0" w:rsidRPr="00462AB0" w:rsidRDefault="00462AB0" w:rsidP="00462AB0">
            <w:pPr>
              <w:pStyle w:val="af8"/>
              <w:widowControl w:val="0"/>
              <w:numPr>
                <w:ilvl w:val="1"/>
                <w:numId w:val="25"/>
              </w:numPr>
              <w:spacing w:line="360" w:lineRule="auto"/>
              <w:contextualSpacing w:val="0"/>
              <w:jc w:val="both"/>
              <w:rPr>
                <w:rFonts w:eastAsia="宋体"/>
                <w:sz w:val="20"/>
                <w:szCs w:val="20"/>
              </w:rPr>
            </w:pPr>
            <w:r w:rsidRPr="00462AB0">
              <w:rPr>
                <w:rFonts w:eastAsia="宋体"/>
                <w:sz w:val="20"/>
                <w:szCs w:val="20"/>
              </w:rPr>
              <w:t>There will be confusion between OCNG and UE BW, even if we go that way</w:t>
            </w:r>
          </w:p>
          <w:p w:rsidR="00462AB0" w:rsidRPr="00462AB0" w:rsidRDefault="00462AB0" w:rsidP="00462AB0">
            <w:pPr>
              <w:pStyle w:val="af8"/>
              <w:widowControl w:val="0"/>
              <w:numPr>
                <w:ilvl w:val="1"/>
                <w:numId w:val="25"/>
              </w:numPr>
              <w:spacing w:line="360" w:lineRule="auto"/>
              <w:contextualSpacing w:val="0"/>
              <w:jc w:val="both"/>
              <w:rPr>
                <w:rFonts w:eastAsia="宋体"/>
                <w:sz w:val="20"/>
                <w:szCs w:val="20"/>
              </w:rPr>
            </w:pPr>
            <w:r w:rsidRPr="00462AB0">
              <w:rPr>
                <w:rFonts w:eastAsia="宋体"/>
                <w:sz w:val="20"/>
                <w:szCs w:val="20"/>
              </w:rPr>
              <w:lastRenderedPageBreak/>
              <w:t>Challenge for TE: interpret OCNG (and other RMCs) as the UE BW</w:t>
            </w:r>
          </w:p>
          <w:p w:rsidR="00462AB0" w:rsidRPr="00462AB0" w:rsidRDefault="00462AB0" w:rsidP="00462AB0">
            <w:pPr>
              <w:pStyle w:val="af8"/>
              <w:widowControl w:val="0"/>
              <w:numPr>
                <w:ilvl w:val="1"/>
                <w:numId w:val="25"/>
              </w:numPr>
              <w:spacing w:line="360" w:lineRule="auto"/>
              <w:contextualSpacing w:val="0"/>
              <w:jc w:val="both"/>
              <w:rPr>
                <w:rFonts w:eastAsia="宋体"/>
                <w:sz w:val="20"/>
                <w:szCs w:val="20"/>
              </w:rPr>
            </w:pPr>
            <w:r w:rsidRPr="00462AB0">
              <w:rPr>
                <w:rFonts w:eastAsia="宋体"/>
                <w:sz w:val="20"/>
                <w:szCs w:val="20"/>
              </w:rPr>
              <w:t>Two steps could be considered:</w:t>
            </w:r>
          </w:p>
          <w:p w:rsidR="00462AB0" w:rsidRPr="00462AB0" w:rsidRDefault="00462AB0" w:rsidP="00462AB0">
            <w:pPr>
              <w:pStyle w:val="af8"/>
              <w:widowControl w:val="0"/>
              <w:numPr>
                <w:ilvl w:val="2"/>
                <w:numId w:val="25"/>
              </w:numPr>
              <w:spacing w:line="360" w:lineRule="auto"/>
              <w:contextualSpacing w:val="0"/>
              <w:jc w:val="both"/>
              <w:rPr>
                <w:sz w:val="20"/>
                <w:szCs w:val="20"/>
              </w:rPr>
            </w:pPr>
            <w:r w:rsidRPr="00462AB0">
              <w:rPr>
                <w:sz w:val="20"/>
                <w:szCs w:val="20"/>
              </w:rPr>
              <w:t>Step 1: in the configuration, separately cell BW and UE channel BW are mentioned</w:t>
            </w:r>
          </w:p>
          <w:p w:rsidR="00462AB0" w:rsidRPr="00462AB0" w:rsidRDefault="00462AB0" w:rsidP="00462AB0">
            <w:pPr>
              <w:pStyle w:val="af8"/>
              <w:widowControl w:val="0"/>
              <w:numPr>
                <w:ilvl w:val="2"/>
                <w:numId w:val="25"/>
              </w:numPr>
              <w:spacing w:line="360" w:lineRule="auto"/>
              <w:contextualSpacing w:val="0"/>
              <w:jc w:val="both"/>
              <w:rPr>
                <w:sz w:val="20"/>
                <w:szCs w:val="20"/>
              </w:rPr>
            </w:pPr>
            <w:r w:rsidRPr="00462AB0">
              <w:rPr>
                <w:sz w:val="20"/>
                <w:szCs w:val="20"/>
              </w:rPr>
              <w:t>Step 2: resolve the OCNG issue</w:t>
            </w:r>
          </w:p>
          <w:p w:rsidR="00462AB0" w:rsidRPr="00462AB0" w:rsidRDefault="00462AB0" w:rsidP="00462AB0">
            <w:pPr>
              <w:pStyle w:val="af8"/>
              <w:widowControl w:val="0"/>
              <w:numPr>
                <w:ilvl w:val="1"/>
                <w:numId w:val="25"/>
              </w:numPr>
              <w:spacing w:line="360" w:lineRule="auto"/>
              <w:contextualSpacing w:val="0"/>
              <w:jc w:val="both"/>
              <w:rPr>
                <w:sz w:val="20"/>
                <w:szCs w:val="20"/>
              </w:rPr>
            </w:pPr>
            <w:r w:rsidRPr="00462AB0">
              <w:rPr>
                <w:sz w:val="20"/>
                <w:szCs w:val="20"/>
              </w:rPr>
              <w:t>FFS: UE total BW should match a cell BWP (added off-line)</w:t>
            </w:r>
          </w:p>
          <w:p w:rsidR="00462AB0" w:rsidRPr="00462AB0" w:rsidRDefault="00462AB0" w:rsidP="00462AB0">
            <w:pPr>
              <w:pStyle w:val="af8"/>
              <w:widowControl w:val="0"/>
              <w:numPr>
                <w:ilvl w:val="1"/>
                <w:numId w:val="25"/>
              </w:numPr>
              <w:spacing w:afterLines="50" w:after="120" w:line="360" w:lineRule="auto"/>
              <w:ind w:left="1230" w:hanging="357"/>
              <w:contextualSpacing w:val="0"/>
              <w:jc w:val="both"/>
              <w:rPr>
                <w:b/>
                <w:bCs/>
                <w:u w:val="single"/>
              </w:rPr>
            </w:pPr>
            <w:r w:rsidRPr="00462AB0">
              <w:rPr>
                <w:sz w:val="20"/>
                <w:szCs w:val="20"/>
              </w:rPr>
              <w:t>Recommendation: consider the above input in the work on TCs</w:t>
            </w:r>
          </w:p>
        </w:tc>
      </w:tr>
    </w:tbl>
    <w:p w:rsidR="00462AB0" w:rsidRDefault="007725FB" w:rsidP="006F41C9">
      <w:pPr>
        <w:spacing w:beforeLines="50" w:before="120" w:afterLines="50" w:after="120"/>
        <w:jc w:val="both"/>
        <w:rPr>
          <w:rFonts w:eastAsiaTheme="minorEastAsia"/>
          <w:lang w:eastAsia="zh-CN"/>
        </w:rPr>
      </w:pPr>
      <w:r>
        <w:rPr>
          <w:rFonts w:eastAsiaTheme="minorEastAsia" w:hint="eastAsia"/>
          <w:lang w:eastAsia="zh-CN"/>
        </w:rPr>
        <w:lastRenderedPageBreak/>
        <w:t xml:space="preserve">In order to </w:t>
      </w:r>
      <w:r>
        <w:rPr>
          <w:rFonts w:eastAsiaTheme="minorEastAsia"/>
          <w:lang w:eastAsia="zh-CN"/>
        </w:rPr>
        <w:t>eliminate</w:t>
      </w:r>
      <w:r>
        <w:rPr>
          <w:rFonts w:eastAsiaTheme="minorEastAsia" w:hint="eastAsia"/>
          <w:lang w:eastAsia="zh-CN"/>
        </w:rPr>
        <w:t xml:space="preserve"> the misunderstandings to TE vendors caused by bandwidth configurations, a straightforward way is to explicitly configure the bandwidth of RedCap UE and cells</w:t>
      </w:r>
      <w:r w:rsidR="00F80FDE">
        <w:rPr>
          <w:rFonts w:eastAsiaTheme="minorEastAsia" w:hint="eastAsia"/>
          <w:lang w:eastAsia="zh-CN"/>
        </w:rPr>
        <w:t xml:space="preserve"> as Step 1 above</w:t>
      </w:r>
      <w:r>
        <w:rPr>
          <w:rFonts w:eastAsiaTheme="minorEastAsia" w:hint="eastAsia"/>
          <w:lang w:eastAsia="zh-CN"/>
        </w:rPr>
        <w:t xml:space="preserve">. </w:t>
      </w:r>
    </w:p>
    <w:p w:rsidR="00E508F3" w:rsidRDefault="00854050" w:rsidP="006F41C9">
      <w:pPr>
        <w:spacing w:beforeLines="50" w:before="120" w:afterLines="50" w:after="120"/>
        <w:jc w:val="both"/>
        <w:rPr>
          <w:rFonts w:eastAsiaTheme="minorEastAsia"/>
          <w:lang w:eastAsia="zh-CN"/>
        </w:rPr>
      </w:pPr>
      <w:r>
        <w:rPr>
          <w:rFonts w:eastAsiaTheme="minorEastAsia" w:hint="eastAsia"/>
          <w:lang w:eastAsia="zh-CN"/>
        </w:rPr>
        <w:t xml:space="preserve">Besides, TE vendors brought up another issue which is the bandwidth of the configured OCNG may be interpreted as the UE BW by TE vendors. </w:t>
      </w:r>
      <w:r w:rsidR="00844CBB">
        <w:rPr>
          <w:rFonts w:eastAsiaTheme="minorEastAsia" w:hint="eastAsia"/>
          <w:lang w:eastAsia="zh-CN"/>
        </w:rPr>
        <w:t>Considering that frequency hopping is a UE implementation</w:t>
      </w:r>
      <w:r w:rsidR="00271D9A">
        <w:rPr>
          <w:rFonts w:eastAsiaTheme="minorEastAsia" w:hint="eastAsia"/>
          <w:lang w:eastAsia="zh-CN"/>
        </w:rPr>
        <w:t xml:space="preserve"> which means gNB transmits PRS across the </w:t>
      </w:r>
      <w:r w:rsidR="00C70364">
        <w:rPr>
          <w:rFonts w:eastAsiaTheme="minorEastAsia" w:hint="eastAsia"/>
          <w:lang w:eastAsia="zh-CN"/>
        </w:rPr>
        <w:t xml:space="preserve">configured </w:t>
      </w:r>
      <w:r w:rsidR="00CA48B0">
        <w:rPr>
          <w:rFonts w:eastAsiaTheme="minorEastAsia" w:hint="eastAsia"/>
          <w:lang w:eastAsia="zh-CN"/>
        </w:rPr>
        <w:t xml:space="preserve">PRS </w:t>
      </w:r>
      <w:r w:rsidR="00271D9A">
        <w:rPr>
          <w:rFonts w:eastAsiaTheme="minorEastAsia" w:hint="eastAsia"/>
          <w:lang w:eastAsia="zh-CN"/>
        </w:rPr>
        <w:t>BW</w:t>
      </w:r>
      <w:r w:rsidR="002A0A1C">
        <w:rPr>
          <w:rFonts w:eastAsiaTheme="minorEastAsia" w:hint="eastAsia"/>
          <w:lang w:eastAsia="zh-CN"/>
        </w:rPr>
        <w:t xml:space="preserve"> and the unused REs are allocated to virtual UEs</w:t>
      </w:r>
      <w:r w:rsidR="00844CBB">
        <w:rPr>
          <w:rFonts w:eastAsiaTheme="minorEastAsia" w:hint="eastAsia"/>
          <w:lang w:eastAsia="zh-CN"/>
        </w:rPr>
        <w:t xml:space="preserve">, everything remains the same as the TCs without frequency hopping from the gNB point of view. </w:t>
      </w:r>
      <w:r w:rsidR="00A5349D">
        <w:rPr>
          <w:rFonts w:eastAsiaTheme="minorEastAsia" w:hint="eastAsia"/>
          <w:lang w:eastAsia="zh-CN"/>
        </w:rPr>
        <w:t>Therefore we do not think there is any sever OCNG issues caused by frequency hopping. To deal with the interpretation issue of OCNG BW brought up by TE vendors, we propose to add a declaration of the OCNG BW in the TCs</w:t>
      </w:r>
      <w:r w:rsidR="00B57CC7">
        <w:rPr>
          <w:rFonts w:eastAsiaTheme="minorEastAsia" w:hint="eastAsia"/>
          <w:lang w:eastAsia="zh-CN"/>
        </w:rPr>
        <w:t xml:space="preserve">, i.e., the OCNG BW is the </w:t>
      </w:r>
      <w:r w:rsidR="001C5C00">
        <w:rPr>
          <w:rFonts w:eastAsiaTheme="minorEastAsia" w:hint="eastAsia"/>
          <w:lang w:eastAsia="zh-CN"/>
        </w:rPr>
        <w:t>cell</w:t>
      </w:r>
      <w:r w:rsidR="00B57CC7">
        <w:rPr>
          <w:rFonts w:eastAsiaTheme="minorEastAsia" w:hint="eastAsia"/>
          <w:lang w:eastAsia="zh-CN"/>
        </w:rPr>
        <w:t xml:space="preserve"> BW instead of RedCap UE BW</w:t>
      </w:r>
      <w:r w:rsidR="006D1652">
        <w:rPr>
          <w:rFonts w:eastAsiaTheme="minorEastAsia" w:hint="eastAsia"/>
          <w:lang w:eastAsia="zh-CN"/>
        </w:rPr>
        <w:t xml:space="preserve">. </w:t>
      </w:r>
      <w:r w:rsidR="001C5C00">
        <w:rPr>
          <w:rFonts w:eastAsiaTheme="minorEastAsia" w:hint="eastAsia"/>
          <w:lang w:eastAsia="zh-CN"/>
        </w:rPr>
        <w:t xml:space="preserve">For the study part, i.e., UE total BW should match a cell </w:t>
      </w:r>
      <w:proofErr w:type="gramStart"/>
      <w:r w:rsidR="001C5C00">
        <w:rPr>
          <w:rFonts w:eastAsiaTheme="minorEastAsia" w:hint="eastAsia"/>
          <w:lang w:eastAsia="zh-CN"/>
        </w:rPr>
        <w:t>BWP,</w:t>
      </w:r>
      <w:proofErr w:type="gramEnd"/>
      <w:r w:rsidR="001C5C00">
        <w:rPr>
          <w:rFonts w:eastAsiaTheme="minorEastAsia" w:hint="eastAsia"/>
          <w:lang w:eastAsia="zh-CN"/>
        </w:rPr>
        <w:t xml:space="preserve"> we do not see a strong necessity to add such limit according to the discussion above. </w:t>
      </w:r>
    </w:p>
    <w:p w:rsidR="001C5C00" w:rsidRPr="001C5C00" w:rsidRDefault="001C5C00" w:rsidP="006F41C9">
      <w:pPr>
        <w:spacing w:beforeLines="50" w:before="120" w:afterLines="50" w:after="120"/>
        <w:jc w:val="both"/>
        <w:rPr>
          <w:rFonts w:eastAsiaTheme="minorEastAsia"/>
          <w:b/>
          <w:lang w:eastAsia="zh-CN"/>
        </w:rPr>
      </w:pPr>
      <w:r w:rsidRPr="001C5C00">
        <w:rPr>
          <w:rFonts w:eastAsiaTheme="minorEastAsia" w:hint="eastAsia"/>
          <w:b/>
          <w:lang w:eastAsia="zh-CN"/>
        </w:rPr>
        <w:t xml:space="preserve">Proposal </w:t>
      </w:r>
      <w:r w:rsidR="00A44ADB">
        <w:rPr>
          <w:rFonts w:eastAsiaTheme="minorEastAsia" w:hint="eastAsia"/>
          <w:b/>
          <w:lang w:eastAsia="zh-CN"/>
        </w:rPr>
        <w:t>2</w:t>
      </w:r>
      <w:r w:rsidRPr="001C5C00">
        <w:rPr>
          <w:rFonts w:eastAsiaTheme="minorEastAsia" w:hint="eastAsia"/>
          <w:b/>
          <w:lang w:eastAsia="zh-CN"/>
        </w:rPr>
        <w:t xml:space="preserve">: Explicitly configure BWs for UE and Cell separately and clarify that the OCNG BW is the cell BW in TCs.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eastAsia="宋体" w:hint="eastAsia"/>
          <w:lang w:eastAsia="zh-CN"/>
        </w:rPr>
        <w:t xml:space="preserve"> </w:t>
      </w:r>
      <w:r w:rsidR="00BD0C0D">
        <w:rPr>
          <w:rFonts w:eastAsiaTheme="minorEastAsia" w:hint="eastAsia"/>
          <w:lang w:eastAsia="zh-CN"/>
        </w:rPr>
        <w:t>performance</w:t>
      </w:r>
      <w:r w:rsidR="00B34860">
        <w:rPr>
          <w:rFonts w:eastAsiaTheme="minorEastAsia" w:hint="eastAsia"/>
          <w:lang w:eastAsia="zh-CN"/>
        </w:rPr>
        <w:t xml:space="preserve"> requirements </w:t>
      </w:r>
      <w:r w:rsidR="005B5B10">
        <w:rPr>
          <w:rFonts w:eastAsiaTheme="minorEastAsia" w:hint="eastAsia"/>
          <w:lang w:eastAsia="zh-CN"/>
        </w:rPr>
        <w:t>for RedCap UE positioning</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nd</w:t>
      </w:r>
      <w:r w:rsidR="00BD0C0D" w:rsidRPr="00BD0C0D">
        <w:rPr>
          <w:rFonts w:eastAsia="宋体" w:hint="eastAsia"/>
          <w:lang w:val="en-US" w:eastAsia="zh-CN"/>
        </w:rPr>
        <w:t xml:space="preserve"> </w:t>
      </w:r>
      <w:r w:rsidR="00BD0C0D">
        <w:rPr>
          <w:rFonts w:eastAsia="宋体" w:hint="eastAsia"/>
          <w:lang w:val="en-US" w:eastAsia="zh-CN"/>
        </w:rPr>
        <w:t>provided</w:t>
      </w:r>
      <w:r>
        <w:rPr>
          <w:rFonts w:eastAsia="宋体" w:hint="eastAsia"/>
          <w:lang w:val="en-US" w:eastAsia="zh-CN"/>
        </w:rPr>
        <w:t xml:space="preserve"> the following </w:t>
      </w:r>
      <w:r w:rsidR="00AD20D9">
        <w:rPr>
          <w:rFonts w:eastAsia="宋体" w:hint="eastAsia"/>
          <w:lang w:val="en-US" w:eastAsia="zh-CN"/>
        </w:rPr>
        <w:t>proposal</w:t>
      </w:r>
      <w:r w:rsidR="00BD0C0D">
        <w:rPr>
          <w:rFonts w:eastAsia="宋体" w:hint="eastAsia"/>
          <w:lang w:val="en-US" w:eastAsia="zh-CN"/>
        </w:rPr>
        <w:t>s</w:t>
      </w:r>
      <w:r>
        <w:rPr>
          <w:rFonts w:eastAsia="宋体" w:hint="eastAsia"/>
          <w:lang w:val="en-US" w:eastAsia="zh-CN"/>
        </w:rPr>
        <w:t>:</w:t>
      </w:r>
      <w:r w:rsidR="00B34860">
        <w:rPr>
          <w:rFonts w:eastAsia="宋体" w:hint="eastAsia"/>
          <w:lang w:val="en-US" w:eastAsia="zh-CN"/>
        </w:rPr>
        <w:t xml:space="preserve"> </w:t>
      </w:r>
    </w:p>
    <w:p w:rsidR="00A44ADB" w:rsidRPr="00A44ADB" w:rsidRDefault="00A44ADB" w:rsidP="00A44ADB">
      <w:pPr>
        <w:spacing w:beforeLines="50" w:before="120" w:afterLines="50" w:after="120"/>
        <w:jc w:val="both"/>
        <w:rPr>
          <w:rFonts w:eastAsiaTheme="minorEastAsia"/>
          <w:b/>
          <w:lang w:eastAsia="zh-CN"/>
        </w:rPr>
      </w:pPr>
      <w:r w:rsidRPr="00A44ADB">
        <w:rPr>
          <w:rFonts w:eastAsiaTheme="minorEastAsia" w:hint="eastAsia"/>
          <w:b/>
          <w:lang w:eastAsia="zh-CN"/>
        </w:rPr>
        <w:t xml:space="preserve">Proposal 1: Clarify that margin </w:t>
      </w:r>
      <w:r w:rsidRPr="00A44ADB">
        <w:rPr>
          <w:rFonts w:eastAsiaTheme="minorEastAsia"/>
          <w:b/>
          <w:lang w:eastAsia="zh-CN"/>
        </w:rPr>
        <w:t>values</w:t>
      </w:r>
      <w:r w:rsidRPr="00A44ADB">
        <w:rPr>
          <w:rFonts w:eastAsiaTheme="minorEastAsia" w:hint="eastAsia"/>
          <w:b/>
          <w:lang w:eastAsia="zh-CN"/>
        </w:rPr>
        <w:t xml:space="preserve"> are limited by per-hop BW in performance requirements, and no </w:t>
      </w:r>
      <w:r w:rsidRPr="00A44ADB">
        <w:rPr>
          <w:rFonts w:eastAsiaTheme="minorEastAsia"/>
          <w:b/>
          <w:lang w:eastAsia="zh-CN"/>
        </w:rPr>
        <w:t>additional</w:t>
      </w:r>
      <w:r w:rsidRPr="00A44ADB">
        <w:rPr>
          <w:rFonts w:eastAsiaTheme="minorEastAsia" w:hint="eastAsia"/>
          <w:b/>
          <w:lang w:eastAsia="zh-CN"/>
        </w:rPr>
        <w:t xml:space="preserve"> margin is added on top of the legacy margin values. </w:t>
      </w:r>
    </w:p>
    <w:p w:rsidR="001D6284" w:rsidRPr="00BD0C0D" w:rsidRDefault="00BD0C0D" w:rsidP="00BD0C0D">
      <w:pPr>
        <w:spacing w:beforeLines="50" w:before="120" w:afterLines="50" w:after="120"/>
        <w:jc w:val="both"/>
        <w:rPr>
          <w:rFonts w:eastAsiaTheme="minorEastAsia"/>
          <w:b/>
          <w:lang w:eastAsia="zh-CN"/>
        </w:rPr>
      </w:pPr>
      <w:r w:rsidRPr="001C5C00">
        <w:rPr>
          <w:rFonts w:eastAsiaTheme="minorEastAsia" w:hint="eastAsia"/>
          <w:b/>
          <w:lang w:eastAsia="zh-CN"/>
        </w:rPr>
        <w:t xml:space="preserve">Proposal </w:t>
      </w:r>
      <w:r w:rsidR="00A44ADB">
        <w:rPr>
          <w:rFonts w:eastAsiaTheme="minorEastAsia" w:hint="eastAsia"/>
          <w:b/>
          <w:lang w:eastAsia="zh-CN"/>
        </w:rPr>
        <w:t>2</w:t>
      </w:r>
      <w:r w:rsidRPr="001C5C00">
        <w:rPr>
          <w:rFonts w:eastAsiaTheme="minorEastAsia" w:hint="eastAsia"/>
          <w:b/>
          <w:lang w:eastAsia="zh-CN"/>
        </w:rPr>
        <w:t xml:space="preserve">: Explicitly configure BWs for UE and Cell separately and clarify that the OCNG BW is the cell BW in TCs.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B55ACF" w:rsidRPr="00281B5B" w:rsidRDefault="000778EB" w:rsidP="00880D69">
      <w:pPr>
        <w:ind w:left="350" w:hangingChars="175" w:hanging="350"/>
        <w:rPr>
          <w:rFonts w:eastAsia="宋体"/>
          <w:strike/>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Pr="00D0293E">
        <w:rPr>
          <w:rFonts w:eastAsia="宋体"/>
          <w:szCs w:val="24"/>
          <w:lang w:val="en-US" w:eastAsia="zh-CN"/>
        </w:rPr>
        <w:t>R4-2</w:t>
      </w:r>
      <w:r w:rsidR="00D0293E">
        <w:rPr>
          <w:rFonts w:eastAsia="宋体" w:hint="eastAsia"/>
          <w:szCs w:val="24"/>
          <w:lang w:val="en-US" w:eastAsia="zh-CN"/>
        </w:rPr>
        <w:t>4</w:t>
      </w:r>
      <w:r w:rsidR="009F0D28">
        <w:rPr>
          <w:rFonts w:eastAsia="宋体" w:hint="eastAsia"/>
          <w:szCs w:val="24"/>
          <w:lang w:val="en-US" w:eastAsia="zh-CN"/>
        </w:rPr>
        <w:t>1</w:t>
      </w:r>
      <w:r w:rsidR="005975BB">
        <w:rPr>
          <w:rFonts w:eastAsia="宋体" w:hint="eastAsia"/>
          <w:szCs w:val="24"/>
          <w:lang w:val="en-US" w:eastAsia="zh-CN"/>
        </w:rPr>
        <w:t>4032</w:t>
      </w:r>
      <w:r w:rsidRPr="00D0293E">
        <w:rPr>
          <w:rFonts w:eastAsia="宋体"/>
          <w:szCs w:val="24"/>
          <w:lang w:val="en-US" w:eastAsia="zh-CN"/>
        </w:rPr>
        <w:t xml:space="preserve">, </w:t>
      </w:r>
      <w:r w:rsidR="00115DE3" w:rsidRPr="00D0293E">
        <w:rPr>
          <w:rFonts w:eastAsia="宋体" w:hint="eastAsia"/>
          <w:szCs w:val="24"/>
          <w:lang w:val="en-US" w:eastAsia="zh-CN"/>
        </w:rPr>
        <w:t xml:space="preserve">WF on RedCap </w:t>
      </w:r>
      <w:r w:rsidR="005424D6" w:rsidRPr="00D0293E">
        <w:rPr>
          <w:rFonts w:eastAsia="宋体" w:hint="eastAsia"/>
          <w:szCs w:val="24"/>
          <w:lang w:val="en-US" w:eastAsia="zh-CN"/>
        </w:rPr>
        <w:t xml:space="preserve">positioning </w:t>
      </w:r>
      <w:r w:rsidR="00115DE3" w:rsidRPr="00D0293E">
        <w:rPr>
          <w:rFonts w:eastAsia="宋体" w:hint="eastAsia"/>
          <w:szCs w:val="24"/>
          <w:lang w:val="en-US" w:eastAsia="zh-CN"/>
        </w:rPr>
        <w:t xml:space="preserve">and </w:t>
      </w:r>
      <w:r w:rsidR="008208D8">
        <w:rPr>
          <w:rFonts w:eastAsia="宋体" w:hint="eastAsia"/>
          <w:szCs w:val="24"/>
          <w:lang w:val="en-US" w:eastAsia="zh-CN"/>
        </w:rPr>
        <w:t xml:space="preserve">PRS/SRS </w:t>
      </w:r>
      <w:r w:rsidR="00D0293E">
        <w:rPr>
          <w:rFonts w:eastAsia="宋体" w:hint="eastAsia"/>
          <w:szCs w:val="24"/>
          <w:lang w:val="en-US" w:eastAsia="zh-CN"/>
        </w:rPr>
        <w:t>bandwidth</w:t>
      </w:r>
      <w:r w:rsidR="00115DE3" w:rsidRPr="00D0293E">
        <w:rPr>
          <w:rFonts w:eastAsia="宋体" w:hint="eastAsia"/>
          <w:szCs w:val="24"/>
          <w:lang w:val="en-US" w:eastAsia="zh-CN"/>
        </w:rPr>
        <w:t xml:space="preserve"> aggregation</w:t>
      </w:r>
      <w:r w:rsidRPr="00D0293E">
        <w:rPr>
          <w:rFonts w:eastAsia="宋体" w:hint="eastAsia"/>
          <w:szCs w:val="24"/>
          <w:lang w:val="en-US" w:eastAsia="zh-CN"/>
        </w:rPr>
        <w:t>, Ericsson</w:t>
      </w:r>
      <w:r w:rsidR="005F603F" w:rsidRPr="00D0293E">
        <w:rPr>
          <w:rFonts w:eastAsia="宋体" w:hint="eastAsia"/>
          <w:szCs w:val="24"/>
          <w:lang w:val="en-US" w:eastAsia="zh-CN"/>
        </w:rPr>
        <w:t>, RAN4#1</w:t>
      </w:r>
      <w:r w:rsidR="00D0293E">
        <w:rPr>
          <w:rFonts w:eastAsia="宋体" w:hint="eastAsia"/>
          <w:szCs w:val="24"/>
          <w:lang w:val="en-US" w:eastAsia="zh-CN"/>
        </w:rPr>
        <w:t>1</w:t>
      </w:r>
      <w:r w:rsidR="005975BB">
        <w:rPr>
          <w:rFonts w:eastAsia="宋体" w:hint="eastAsia"/>
          <w:szCs w:val="24"/>
          <w:lang w:val="en-US" w:eastAsia="zh-CN"/>
        </w:rPr>
        <w:t>2</w:t>
      </w:r>
      <w:r w:rsidR="005F603F" w:rsidRPr="00D0293E">
        <w:rPr>
          <w:rFonts w:eastAsia="宋体" w:hint="eastAsia"/>
          <w:szCs w:val="24"/>
          <w:lang w:val="en-US" w:eastAsia="zh-CN"/>
        </w:rPr>
        <w:t>.</w:t>
      </w:r>
      <w:r w:rsidR="00C93D82">
        <w:rPr>
          <w:rFonts w:eastAsia="宋体" w:hint="eastAsia"/>
          <w:szCs w:val="24"/>
          <w:lang w:val="en-US" w:eastAsia="zh-CN"/>
        </w:rPr>
        <w:t xml:space="preserve"> </w:t>
      </w:r>
    </w:p>
    <w:p w:rsidR="0010524C" w:rsidRPr="00820D56" w:rsidRDefault="0010524C" w:rsidP="00AC4AE8">
      <w:pPr>
        <w:ind w:left="350" w:hangingChars="175" w:hanging="350"/>
        <w:jc w:val="both"/>
        <w:rPr>
          <w:rFonts w:eastAsia="宋体"/>
          <w:szCs w:val="24"/>
          <w:lang w:val="en-US" w:eastAsia="zh-CN"/>
        </w:rPr>
      </w:pPr>
    </w:p>
    <w:sectPr w:rsidR="0010524C" w:rsidRPr="00820D56"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C24" w:rsidRDefault="00A01C24" w:rsidP="000778EB">
      <w:pPr>
        <w:spacing w:after="0"/>
      </w:pPr>
      <w:r>
        <w:separator/>
      </w:r>
    </w:p>
  </w:endnote>
  <w:endnote w:type="continuationSeparator" w:id="0">
    <w:p w:rsidR="00A01C24" w:rsidRDefault="00A01C24"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7" w:rsidRDefault="00453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53B57" w:rsidRDefault="00453B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7" w:rsidRDefault="00453B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75D2C">
      <w:rPr>
        <w:rStyle w:val="af1"/>
        <w:noProof/>
      </w:rPr>
      <w:t>1</w:t>
    </w:r>
    <w:r>
      <w:rPr>
        <w:rStyle w:val="af1"/>
      </w:rPr>
      <w:fldChar w:fldCharType="end"/>
    </w:r>
  </w:p>
  <w:p w:rsidR="00453B57" w:rsidRDefault="00453B5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C24" w:rsidRDefault="00A01C24" w:rsidP="000778EB">
      <w:pPr>
        <w:spacing w:after="0"/>
      </w:pPr>
      <w:r>
        <w:separator/>
      </w:r>
    </w:p>
  </w:footnote>
  <w:footnote w:type="continuationSeparator" w:id="0">
    <w:p w:rsidR="00A01C24" w:rsidRDefault="00A01C24"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B73482"/>
    <w:multiLevelType w:val="multilevel"/>
    <w:tmpl w:val="58B73482"/>
    <w:lvl w:ilvl="0">
      <w:start w:val="1"/>
      <w:numFmt w:val="bullet"/>
      <w:lvlText w:val=""/>
      <w:lvlJc w:val="left"/>
      <w:pPr>
        <w:tabs>
          <w:tab w:val="left" w:pos="-420"/>
        </w:tabs>
        <w:ind w:left="516" w:hanging="360"/>
      </w:pPr>
      <w:rPr>
        <w:rFonts w:ascii="Wingdings" w:hAnsi="Wingdings" w:hint="default"/>
      </w:rPr>
    </w:lvl>
    <w:lvl w:ilvl="1">
      <w:start w:val="1"/>
      <w:numFmt w:val="bullet"/>
      <w:lvlText w:val=""/>
      <w:lvlJc w:val="left"/>
      <w:pPr>
        <w:tabs>
          <w:tab w:val="left" w:pos="-420"/>
        </w:tabs>
        <w:ind w:left="1236" w:hanging="360"/>
      </w:pPr>
      <w:rPr>
        <w:rFonts w:ascii="Wingdings" w:hAnsi="Wingdings"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5">
    <w:nsid w:val="59542C0B"/>
    <w:multiLevelType w:val="hybridMultilevel"/>
    <w:tmpl w:val="225457C6"/>
    <w:lvl w:ilvl="0" w:tplc="E3DADAE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FB0184"/>
    <w:multiLevelType w:val="hybridMultilevel"/>
    <w:tmpl w:val="FF80988A"/>
    <w:lvl w:ilvl="0" w:tplc="F9CA595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4">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1"/>
  </w:num>
  <w:num w:numId="3">
    <w:abstractNumId w:val="23"/>
  </w:num>
  <w:num w:numId="4">
    <w:abstractNumId w:val="4"/>
  </w:num>
  <w:num w:numId="5">
    <w:abstractNumId w:val="17"/>
  </w:num>
  <w:num w:numId="6">
    <w:abstractNumId w:val="18"/>
  </w:num>
  <w:num w:numId="7">
    <w:abstractNumId w:val="3"/>
  </w:num>
  <w:num w:numId="8">
    <w:abstractNumId w:val="19"/>
  </w:num>
  <w:num w:numId="9">
    <w:abstractNumId w:val="22"/>
  </w:num>
  <w:num w:numId="10">
    <w:abstractNumId w:val="13"/>
  </w:num>
  <w:num w:numId="11">
    <w:abstractNumId w:val="6"/>
  </w:num>
  <w:num w:numId="12">
    <w:abstractNumId w:val="1"/>
  </w:num>
  <w:num w:numId="13">
    <w:abstractNumId w:val="11"/>
  </w:num>
  <w:num w:numId="14">
    <w:abstractNumId w:val="7"/>
  </w:num>
  <w:num w:numId="15">
    <w:abstractNumId w:val="24"/>
  </w:num>
  <w:num w:numId="16">
    <w:abstractNumId w:val="5"/>
  </w:num>
  <w:num w:numId="17">
    <w:abstractNumId w:val="8"/>
  </w:num>
  <w:num w:numId="18">
    <w:abstractNumId w:val="12"/>
  </w:num>
  <w:num w:numId="19">
    <w:abstractNumId w:val="9"/>
  </w:num>
  <w:num w:numId="20">
    <w:abstractNumId w:val="2"/>
  </w:num>
  <w:num w:numId="21">
    <w:abstractNumId w:val="0"/>
  </w:num>
  <w:num w:numId="22">
    <w:abstractNumId w:val="16"/>
  </w:num>
  <w:num w:numId="23">
    <w:abstractNumId w:val="15"/>
  </w:num>
  <w:num w:numId="24">
    <w:abstractNumId w:val="20"/>
  </w:num>
  <w:num w:numId="2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2C01"/>
    <w:rsid w:val="00003795"/>
    <w:rsid w:val="000039B0"/>
    <w:rsid w:val="00007D3C"/>
    <w:rsid w:val="00007DC4"/>
    <w:rsid w:val="00010177"/>
    <w:rsid w:val="000115B6"/>
    <w:rsid w:val="0001179D"/>
    <w:rsid w:val="00011E8A"/>
    <w:rsid w:val="000132F2"/>
    <w:rsid w:val="000144F0"/>
    <w:rsid w:val="00014CAF"/>
    <w:rsid w:val="00015402"/>
    <w:rsid w:val="00015902"/>
    <w:rsid w:val="00015ECF"/>
    <w:rsid w:val="00016879"/>
    <w:rsid w:val="000221C1"/>
    <w:rsid w:val="00022404"/>
    <w:rsid w:val="00022F7A"/>
    <w:rsid w:val="00023280"/>
    <w:rsid w:val="000258AC"/>
    <w:rsid w:val="00025942"/>
    <w:rsid w:val="00025CF4"/>
    <w:rsid w:val="00025FA2"/>
    <w:rsid w:val="000307E4"/>
    <w:rsid w:val="00031342"/>
    <w:rsid w:val="00031645"/>
    <w:rsid w:val="000317A6"/>
    <w:rsid w:val="00031824"/>
    <w:rsid w:val="000324C0"/>
    <w:rsid w:val="00032AEE"/>
    <w:rsid w:val="00032CCB"/>
    <w:rsid w:val="00033040"/>
    <w:rsid w:val="0003463F"/>
    <w:rsid w:val="000361E3"/>
    <w:rsid w:val="0003655B"/>
    <w:rsid w:val="00036974"/>
    <w:rsid w:val="00036CB4"/>
    <w:rsid w:val="00037A5B"/>
    <w:rsid w:val="000414C9"/>
    <w:rsid w:val="00041E39"/>
    <w:rsid w:val="0004317E"/>
    <w:rsid w:val="00043811"/>
    <w:rsid w:val="00043DA6"/>
    <w:rsid w:val="000454DC"/>
    <w:rsid w:val="00045649"/>
    <w:rsid w:val="00045AAF"/>
    <w:rsid w:val="00045FD1"/>
    <w:rsid w:val="0004660D"/>
    <w:rsid w:val="0004753A"/>
    <w:rsid w:val="000475D5"/>
    <w:rsid w:val="00047641"/>
    <w:rsid w:val="00047D91"/>
    <w:rsid w:val="0005064E"/>
    <w:rsid w:val="00050683"/>
    <w:rsid w:val="000508B0"/>
    <w:rsid w:val="00051B8F"/>
    <w:rsid w:val="0005261D"/>
    <w:rsid w:val="00052789"/>
    <w:rsid w:val="0005280D"/>
    <w:rsid w:val="00054890"/>
    <w:rsid w:val="0005514C"/>
    <w:rsid w:val="00056903"/>
    <w:rsid w:val="00060BB9"/>
    <w:rsid w:val="00064250"/>
    <w:rsid w:val="00065572"/>
    <w:rsid w:val="00067E44"/>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625C"/>
    <w:rsid w:val="0008657D"/>
    <w:rsid w:val="0008683B"/>
    <w:rsid w:val="00086A08"/>
    <w:rsid w:val="00086C86"/>
    <w:rsid w:val="000877AD"/>
    <w:rsid w:val="000879AF"/>
    <w:rsid w:val="00090C24"/>
    <w:rsid w:val="00092EFD"/>
    <w:rsid w:val="0009598F"/>
    <w:rsid w:val="00095A4C"/>
    <w:rsid w:val="00095ABC"/>
    <w:rsid w:val="000970DF"/>
    <w:rsid w:val="000978B9"/>
    <w:rsid w:val="000A0269"/>
    <w:rsid w:val="000A06B4"/>
    <w:rsid w:val="000A23C8"/>
    <w:rsid w:val="000A3CBD"/>
    <w:rsid w:val="000A4E19"/>
    <w:rsid w:val="000A7556"/>
    <w:rsid w:val="000B0103"/>
    <w:rsid w:val="000B11D1"/>
    <w:rsid w:val="000B2CF7"/>
    <w:rsid w:val="000B6FE0"/>
    <w:rsid w:val="000C0231"/>
    <w:rsid w:val="000C082A"/>
    <w:rsid w:val="000C0944"/>
    <w:rsid w:val="000C0BF3"/>
    <w:rsid w:val="000C0DE9"/>
    <w:rsid w:val="000C167B"/>
    <w:rsid w:val="000C21F7"/>
    <w:rsid w:val="000C283A"/>
    <w:rsid w:val="000C3A8D"/>
    <w:rsid w:val="000C47DD"/>
    <w:rsid w:val="000C4A68"/>
    <w:rsid w:val="000C4C24"/>
    <w:rsid w:val="000C5968"/>
    <w:rsid w:val="000C5AFE"/>
    <w:rsid w:val="000D0DF7"/>
    <w:rsid w:val="000D0E1C"/>
    <w:rsid w:val="000D1295"/>
    <w:rsid w:val="000D1F22"/>
    <w:rsid w:val="000D27F1"/>
    <w:rsid w:val="000D4250"/>
    <w:rsid w:val="000D49BB"/>
    <w:rsid w:val="000D5DA1"/>
    <w:rsid w:val="000D6398"/>
    <w:rsid w:val="000D68CA"/>
    <w:rsid w:val="000D6E4D"/>
    <w:rsid w:val="000E0336"/>
    <w:rsid w:val="000E1CDC"/>
    <w:rsid w:val="000E234A"/>
    <w:rsid w:val="000E24E6"/>
    <w:rsid w:val="000E4295"/>
    <w:rsid w:val="000E5467"/>
    <w:rsid w:val="000E71FF"/>
    <w:rsid w:val="000E7EC1"/>
    <w:rsid w:val="000F15CC"/>
    <w:rsid w:val="000F3279"/>
    <w:rsid w:val="000F37C8"/>
    <w:rsid w:val="000F3B98"/>
    <w:rsid w:val="000F49A0"/>
    <w:rsid w:val="000F4C27"/>
    <w:rsid w:val="000F4F38"/>
    <w:rsid w:val="000F530D"/>
    <w:rsid w:val="000F5635"/>
    <w:rsid w:val="000F5B84"/>
    <w:rsid w:val="000F61FB"/>
    <w:rsid w:val="000F6474"/>
    <w:rsid w:val="000F6941"/>
    <w:rsid w:val="001007D3"/>
    <w:rsid w:val="00100C62"/>
    <w:rsid w:val="00101C76"/>
    <w:rsid w:val="0010221A"/>
    <w:rsid w:val="0010283D"/>
    <w:rsid w:val="00102FBA"/>
    <w:rsid w:val="0010438F"/>
    <w:rsid w:val="0010524C"/>
    <w:rsid w:val="0010770B"/>
    <w:rsid w:val="00110436"/>
    <w:rsid w:val="00110AEE"/>
    <w:rsid w:val="00111139"/>
    <w:rsid w:val="00112287"/>
    <w:rsid w:val="00112BC6"/>
    <w:rsid w:val="00113958"/>
    <w:rsid w:val="001139C2"/>
    <w:rsid w:val="001146D4"/>
    <w:rsid w:val="001147BC"/>
    <w:rsid w:val="001149F4"/>
    <w:rsid w:val="001150A2"/>
    <w:rsid w:val="0011523C"/>
    <w:rsid w:val="00115BCB"/>
    <w:rsid w:val="00115DE3"/>
    <w:rsid w:val="00115F9B"/>
    <w:rsid w:val="00116212"/>
    <w:rsid w:val="00117ACE"/>
    <w:rsid w:val="001217CB"/>
    <w:rsid w:val="001226F1"/>
    <w:rsid w:val="00124658"/>
    <w:rsid w:val="00125450"/>
    <w:rsid w:val="001318C1"/>
    <w:rsid w:val="00132CE4"/>
    <w:rsid w:val="0013312B"/>
    <w:rsid w:val="001339AD"/>
    <w:rsid w:val="00134D0F"/>
    <w:rsid w:val="00134FB2"/>
    <w:rsid w:val="00135AFC"/>
    <w:rsid w:val="001366C3"/>
    <w:rsid w:val="00137039"/>
    <w:rsid w:val="001373FE"/>
    <w:rsid w:val="0013743A"/>
    <w:rsid w:val="0014077C"/>
    <w:rsid w:val="00140D45"/>
    <w:rsid w:val="001420DC"/>
    <w:rsid w:val="00142EE0"/>
    <w:rsid w:val="00142FDA"/>
    <w:rsid w:val="00143139"/>
    <w:rsid w:val="00144475"/>
    <w:rsid w:val="0014479B"/>
    <w:rsid w:val="00147719"/>
    <w:rsid w:val="00147917"/>
    <w:rsid w:val="00147D19"/>
    <w:rsid w:val="00150619"/>
    <w:rsid w:val="001529A1"/>
    <w:rsid w:val="00152E98"/>
    <w:rsid w:val="00152FAD"/>
    <w:rsid w:val="00153916"/>
    <w:rsid w:val="00155225"/>
    <w:rsid w:val="001605E0"/>
    <w:rsid w:val="00160AB5"/>
    <w:rsid w:val="00161192"/>
    <w:rsid w:val="0016157F"/>
    <w:rsid w:val="00162024"/>
    <w:rsid w:val="001631E1"/>
    <w:rsid w:val="0016329A"/>
    <w:rsid w:val="00163C5E"/>
    <w:rsid w:val="001647AD"/>
    <w:rsid w:val="00165790"/>
    <w:rsid w:val="0016606B"/>
    <w:rsid w:val="00167696"/>
    <w:rsid w:val="00170AC4"/>
    <w:rsid w:val="001710CD"/>
    <w:rsid w:val="00174023"/>
    <w:rsid w:val="00174F33"/>
    <w:rsid w:val="001756F4"/>
    <w:rsid w:val="00175DD8"/>
    <w:rsid w:val="00176FB2"/>
    <w:rsid w:val="001776AF"/>
    <w:rsid w:val="001776B8"/>
    <w:rsid w:val="00180B70"/>
    <w:rsid w:val="00181339"/>
    <w:rsid w:val="00181BDA"/>
    <w:rsid w:val="00182C89"/>
    <w:rsid w:val="00182FAA"/>
    <w:rsid w:val="00183520"/>
    <w:rsid w:val="00184BF7"/>
    <w:rsid w:val="001877E4"/>
    <w:rsid w:val="00187E43"/>
    <w:rsid w:val="001900E9"/>
    <w:rsid w:val="001913EB"/>
    <w:rsid w:val="00191440"/>
    <w:rsid w:val="00191BC6"/>
    <w:rsid w:val="0019253B"/>
    <w:rsid w:val="00192602"/>
    <w:rsid w:val="00192918"/>
    <w:rsid w:val="00193459"/>
    <w:rsid w:val="00193FBF"/>
    <w:rsid w:val="0019424F"/>
    <w:rsid w:val="00196848"/>
    <w:rsid w:val="00196A19"/>
    <w:rsid w:val="00196C1A"/>
    <w:rsid w:val="001972D6"/>
    <w:rsid w:val="001977E9"/>
    <w:rsid w:val="001A2E15"/>
    <w:rsid w:val="001A3FB1"/>
    <w:rsid w:val="001A4252"/>
    <w:rsid w:val="001A5057"/>
    <w:rsid w:val="001A54FC"/>
    <w:rsid w:val="001A5B91"/>
    <w:rsid w:val="001A6FC3"/>
    <w:rsid w:val="001B0D04"/>
    <w:rsid w:val="001B218C"/>
    <w:rsid w:val="001B2C74"/>
    <w:rsid w:val="001B4B27"/>
    <w:rsid w:val="001B67EA"/>
    <w:rsid w:val="001B6854"/>
    <w:rsid w:val="001B6A1B"/>
    <w:rsid w:val="001B75D9"/>
    <w:rsid w:val="001C1D71"/>
    <w:rsid w:val="001C3190"/>
    <w:rsid w:val="001C379E"/>
    <w:rsid w:val="001C39F4"/>
    <w:rsid w:val="001C5436"/>
    <w:rsid w:val="001C558A"/>
    <w:rsid w:val="001C5C00"/>
    <w:rsid w:val="001C5DF2"/>
    <w:rsid w:val="001C6887"/>
    <w:rsid w:val="001C79BA"/>
    <w:rsid w:val="001C7AFA"/>
    <w:rsid w:val="001C7D33"/>
    <w:rsid w:val="001D15B6"/>
    <w:rsid w:val="001D203D"/>
    <w:rsid w:val="001D3718"/>
    <w:rsid w:val="001D609A"/>
    <w:rsid w:val="001D6284"/>
    <w:rsid w:val="001D6FB7"/>
    <w:rsid w:val="001D78A4"/>
    <w:rsid w:val="001D7F82"/>
    <w:rsid w:val="001E0CF4"/>
    <w:rsid w:val="001E0E98"/>
    <w:rsid w:val="001E1E80"/>
    <w:rsid w:val="001E2468"/>
    <w:rsid w:val="001E2B35"/>
    <w:rsid w:val="001E2FC6"/>
    <w:rsid w:val="001E42A2"/>
    <w:rsid w:val="001E561F"/>
    <w:rsid w:val="001E5853"/>
    <w:rsid w:val="001E6423"/>
    <w:rsid w:val="001F21D6"/>
    <w:rsid w:val="001F2F06"/>
    <w:rsid w:val="001F4B86"/>
    <w:rsid w:val="001F4BF6"/>
    <w:rsid w:val="001F56FC"/>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36A4"/>
    <w:rsid w:val="002139F4"/>
    <w:rsid w:val="00213DDA"/>
    <w:rsid w:val="00214C50"/>
    <w:rsid w:val="00214CAA"/>
    <w:rsid w:val="00215F29"/>
    <w:rsid w:val="00215FBF"/>
    <w:rsid w:val="00216A7C"/>
    <w:rsid w:val="00220A0A"/>
    <w:rsid w:val="00220F55"/>
    <w:rsid w:val="00221E4D"/>
    <w:rsid w:val="00222BAB"/>
    <w:rsid w:val="002235E8"/>
    <w:rsid w:val="00223C72"/>
    <w:rsid w:val="002242B2"/>
    <w:rsid w:val="00224FED"/>
    <w:rsid w:val="00226728"/>
    <w:rsid w:val="00231C79"/>
    <w:rsid w:val="002331AB"/>
    <w:rsid w:val="00236A0C"/>
    <w:rsid w:val="0024072C"/>
    <w:rsid w:val="00241BE7"/>
    <w:rsid w:val="002449CF"/>
    <w:rsid w:val="00244F02"/>
    <w:rsid w:val="0024679E"/>
    <w:rsid w:val="00246DB4"/>
    <w:rsid w:val="00250DF8"/>
    <w:rsid w:val="00250EA3"/>
    <w:rsid w:val="00252FF9"/>
    <w:rsid w:val="00253113"/>
    <w:rsid w:val="00254126"/>
    <w:rsid w:val="0025483D"/>
    <w:rsid w:val="0025678F"/>
    <w:rsid w:val="00260435"/>
    <w:rsid w:val="00260BAE"/>
    <w:rsid w:val="002614EC"/>
    <w:rsid w:val="00262151"/>
    <w:rsid w:val="0026244A"/>
    <w:rsid w:val="00262472"/>
    <w:rsid w:val="00263444"/>
    <w:rsid w:val="00263546"/>
    <w:rsid w:val="00263D2A"/>
    <w:rsid w:val="00263F67"/>
    <w:rsid w:val="00264ABC"/>
    <w:rsid w:val="00271D9A"/>
    <w:rsid w:val="00271E56"/>
    <w:rsid w:val="00272EA0"/>
    <w:rsid w:val="00274892"/>
    <w:rsid w:val="002749F2"/>
    <w:rsid w:val="00274CFD"/>
    <w:rsid w:val="00274DFF"/>
    <w:rsid w:val="00274EAD"/>
    <w:rsid w:val="00275A65"/>
    <w:rsid w:val="0027629D"/>
    <w:rsid w:val="00276A7E"/>
    <w:rsid w:val="00277BC0"/>
    <w:rsid w:val="002803C5"/>
    <w:rsid w:val="00281B5B"/>
    <w:rsid w:val="00282520"/>
    <w:rsid w:val="00283029"/>
    <w:rsid w:val="00283BC6"/>
    <w:rsid w:val="00284A59"/>
    <w:rsid w:val="00286282"/>
    <w:rsid w:val="00286941"/>
    <w:rsid w:val="00287020"/>
    <w:rsid w:val="00287D52"/>
    <w:rsid w:val="002913A9"/>
    <w:rsid w:val="00291778"/>
    <w:rsid w:val="00291F2D"/>
    <w:rsid w:val="00292B53"/>
    <w:rsid w:val="00292EAF"/>
    <w:rsid w:val="00293256"/>
    <w:rsid w:val="00293640"/>
    <w:rsid w:val="002948ED"/>
    <w:rsid w:val="00294A35"/>
    <w:rsid w:val="002954FB"/>
    <w:rsid w:val="0029626C"/>
    <w:rsid w:val="002962F6"/>
    <w:rsid w:val="00296951"/>
    <w:rsid w:val="00297BEA"/>
    <w:rsid w:val="002A07BC"/>
    <w:rsid w:val="002A0A1C"/>
    <w:rsid w:val="002A0F53"/>
    <w:rsid w:val="002A1D6E"/>
    <w:rsid w:val="002A2A08"/>
    <w:rsid w:val="002A326E"/>
    <w:rsid w:val="002A3549"/>
    <w:rsid w:val="002A5309"/>
    <w:rsid w:val="002A5A00"/>
    <w:rsid w:val="002A7E34"/>
    <w:rsid w:val="002B0CAA"/>
    <w:rsid w:val="002B129A"/>
    <w:rsid w:val="002B17B9"/>
    <w:rsid w:val="002B20AC"/>
    <w:rsid w:val="002B379A"/>
    <w:rsid w:val="002B3ACF"/>
    <w:rsid w:val="002B3D03"/>
    <w:rsid w:val="002B4A73"/>
    <w:rsid w:val="002B6293"/>
    <w:rsid w:val="002B7224"/>
    <w:rsid w:val="002B7D47"/>
    <w:rsid w:val="002B7E45"/>
    <w:rsid w:val="002C01BE"/>
    <w:rsid w:val="002C0344"/>
    <w:rsid w:val="002C1532"/>
    <w:rsid w:val="002C2329"/>
    <w:rsid w:val="002C3539"/>
    <w:rsid w:val="002C3754"/>
    <w:rsid w:val="002C3C95"/>
    <w:rsid w:val="002C3CDC"/>
    <w:rsid w:val="002C441A"/>
    <w:rsid w:val="002C45D8"/>
    <w:rsid w:val="002C7FA2"/>
    <w:rsid w:val="002D0DF2"/>
    <w:rsid w:val="002D138C"/>
    <w:rsid w:val="002D1785"/>
    <w:rsid w:val="002D1A60"/>
    <w:rsid w:val="002D2D8A"/>
    <w:rsid w:val="002D3C54"/>
    <w:rsid w:val="002D59F6"/>
    <w:rsid w:val="002D5CED"/>
    <w:rsid w:val="002D72F3"/>
    <w:rsid w:val="002D7846"/>
    <w:rsid w:val="002E09CC"/>
    <w:rsid w:val="002E0E03"/>
    <w:rsid w:val="002E0F8D"/>
    <w:rsid w:val="002E112F"/>
    <w:rsid w:val="002E199A"/>
    <w:rsid w:val="002E1BA5"/>
    <w:rsid w:val="002E1C1E"/>
    <w:rsid w:val="002E1C7A"/>
    <w:rsid w:val="002E1E58"/>
    <w:rsid w:val="002E31F2"/>
    <w:rsid w:val="002E4814"/>
    <w:rsid w:val="002E7C7F"/>
    <w:rsid w:val="002F1E91"/>
    <w:rsid w:val="002F21CA"/>
    <w:rsid w:val="002F311C"/>
    <w:rsid w:val="002F5346"/>
    <w:rsid w:val="00302DA2"/>
    <w:rsid w:val="0030357E"/>
    <w:rsid w:val="003037A3"/>
    <w:rsid w:val="003038ED"/>
    <w:rsid w:val="003040CF"/>
    <w:rsid w:val="00304401"/>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9C2"/>
    <w:rsid w:val="00317A35"/>
    <w:rsid w:val="00317EE3"/>
    <w:rsid w:val="00320E91"/>
    <w:rsid w:val="00321CA7"/>
    <w:rsid w:val="003228D8"/>
    <w:rsid w:val="00322D4E"/>
    <w:rsid w:val="00323F69"/>
    <w:rsid w:val="00324161"/>
    <w:rsid w:val="00324B71"/>
    <w:rsid w:val="00325898"/>
    <w:rsid w:val="00326605"/>
    <w:rsid w:val="00330397"/>
    <w:rsid w:val="00334327"/>
    <w:rsid w:val="00335190"/>
    <w:rsid w:val="00335624"/>
    <w:rsid w:val="00335B7D"/>
    <w:rsid w:val="003370BE"/>
    <w:rsid w:val="003373A0"/>
    <w:rsid w:val="00340951"/>
    <w:rsid w:val="00341732"/>
    <w:rsid w:val="0034176B"/>
    <w:rsid w:val="003427BB"/>
    <w:rsid w:val="00343AF3"/>
    <w:rsid w:val="0034709F"/>
    <w:rsid w:val="003473E3"/>
    <w:rsid w:val="0035039C"/>
    <w:rsid w:val="0035225E"/>
    <w:rsid w:val="00354AF4"/>
    <w:rsid w:val="00354BB5"/>
    <w:rsid w:val="00354C8E"/>
    <w:rsid w:val="00354D04"/>
    <w:rsid w:val="00354F48"/>
    <w:rsid w:val="00357192"/>
    <w:rsid w:val="00357D2C"/>
    <w:rsid w:val="00357F03"/>
    <w:rsid w:val="003610B8"/>
    <w:rsid w:val="003638D6"/>
    <w:rsid w:val="00363C76"/>
    <w:rsid w:val="00364C6E"/>
    <w:rsid w:val="003668F7"/>
    <w:rsid w:val="00366C57"/>
    <w:rsid w:val="0036788A"/>
    <w:rsid w:val="00367B04"/>
    <w:rsid w:val="003709EC"/>
    <w:rsid w:val="00370C0A"/>
    <w:rsid w:val="00370E14"/>
    <w:rsid w:val="00371366"/>
    <w:rsid w:val="00371DF2"/>
    <w:rsid w:val="003725C5"/>
    <w:rsid w:val="00374E7D"/>
    <w:rsid w:val="00374ED8"/>
    <w:rsid w:val="00377339"/>
    <w:rsid w:val="0038258F"/>
    <w:rsid w:val="00382921"/>
    <w:rsid w:val="003832A8"/>
    <w:rsid w:val="003832C6"/>
    <w:rsid w:val="00383357"/>
    <w:rsid w:val="0038584D"/>
    <w:rsid w:val="00385B64"/>
    <w:rsid w:val="00387C64"/>
    <w:rsid w:val="00390A47"/>
    <w:rsid w:val="003910F2"/>
    <w:rsid w:val="00394B50"/>
    <w:rsid w:val="003952E8"/>
    <w:rsid w:val="0039596C"/>
    <w:rsid w:val="00397362"/>
    <w:rsid w:val="003976BB"/>
    <w:rsid w:val="00397E51"/>
    <w:rsid w:val="003A08A4"/>
    <w:rsid w:val="003A17B1"/>
    <w:rsid w:val="003A248C"/>
    <w:rsid w:val="003A3370"/>
    <w:rsid w:val="003A388A"/>
    <w:rsid w:val="003A4F91"/>
    <w:rsid w:val="003A775D"/>
    <w:rsid w:val="003A7880"/>
    <w:rsid w:val="003B195F"/>
    <w:rsid w:val="003B20D6"/>
    <w:rsid w:val="003B21F1"/>
    <w:rsid w:val="003B2D24"/>
    <w:rsid w:val="003B3CB4"/>
    <w:rsid w:val="003B44C6"/>
    <w:rsid w:val="003B6819"/>
    <w:rsid w:val="003B7509"/>
    <w:rsid w:val="003B7956"/>
    <w:rsid w:val="003B7A0B"/>
    <w:rsid w:val="003C00A2"/>
    <w:rsid w:val="003C02F1"/>
    <w:rsid w:val="003C047C"/>
    <w:rsid w:val="003C0E21"/>
    <w:rsid w:val="003C15AE"/>
    <w:rsid w:val="003C25AE"/>
    <w:rsid w:val="003C405B"/>
    <w:rsid w:val="003C591B"/>
    <w:rsid w:val="003C6C93"/>
    <w:rsid w:val="003C6DB9"/>
    <w:rsid w:val="003C70EE"/>
    <w:rsid w:val="003C7B85"/>
    <w:rsid w:val="003D0BD6"/>
    <w:rsid w:val="003D1CD2"/>
    <w:rsid w:val="003D40B8"/>
    <w:rsid w:val="003D4180"/>
    <w:rsid w:val="003D539D"/>
    <w:rsid w:val="003D5E9A"/>
    <w:rsid w:val="003D68B4"/>
    <w:rsid w:val="003E053D"/>
    <w:rsid w:val="003E1440"/>
    <w:rsid w:val="003E15FE"/>
    <w:rsid w:val="003E18B1"/>
    <w:rsid w:val="003E1D8D"/>
    <w:rsid w:val="003E225E"/>
    <w:rsid w:val="003E2720"/>
    <w:rsid w:val="003E3B8B"/>
    <w:rsid w:val="003E4AA2"/>
    <w:rsid w:val="003E7685"/>
    <w:rsid w:val="003F0418"/>
    <w:rsid w:val="003F1184"/>
    <w:rsid w:val="003F39C6"/>
    <w:rsid w:val="003F3C64"/>
    <w:rsid w:val="003F5666"/>
    <w:rsid w:val="003F5702"/>
    <w:rsid w:val="003F5A0A"/>
    <w:rsid w:val="003F6268"/>
    <w:rsid w:val="00402335"/>
    <w:rsid w:val="00402AF2"/>
    <w:rsid w:val="00403521"/>
    <w:rsid w:val="0040396B"/>
    <w:rsid w:val="00404914"/>
    <w:rsid w:val="00404CFE"/>
    <w:rsid w:val="004078EF"/>
    <w:rsid w:val="0040799A"/>
    <w:rsid w:val="00412716"/>
    <w:rsid w:val="00412827"/>
    <w:rsid w:val="00412961"/>
    <w:rsid w:val="004140E7"/>
    <w:rsid w:val="004153A0"/>
    <w:rsid w:val="004155F1"/>
    <w:rsid w:val="00416A10"/>
    <w:rsid w:val="00416DA1"/>
    <w:rsid w:val="004170A4"/>
    <w:rsid w:val="00417664"/>
    <w:rsid w:val="0042094B"/>
    <w:rsid w:val="0042172A"/>
    <w:rsid w:val="00421F0B"/>
    <w:rsid w:val="00422369"/>
    <w:rsid w:val="00423129"/>
    <w:rsid w:val="00423A49"/>
    <w:rsid w:val="00423A68"/>
    <w:rsid w:val="004243A3"/>
    <w:rsid w:val="00431B8F"/>
    <w:rsid w:val="00435F63"/>
    <w:rsid w:val="004361DE"/>
    <w:rsid w:val="00436C17"/>
    <w:rsid w:val="00436DA8"/>
    <w:rsid w:val="0044179B"/>
    <w:rsid w:val="004421F7"/>
    <w:rsid w:val="00442A53"/>
    <w:rsid w:val="00442B4D"/>
    <w:rsid w:val="00443298"/>
    <w:rsid w:val="00444130"/>
    <w:rsid w:val="00444B15"/>
    <w:rsid w:val="004452E3"/>
    <w:rsid w:val="004461EF"/>
    <w:rsid w:val="0044640B"/>
    <w:rsid w:val="0044669D"/>
    <w:rsid w:val="004468F5"/>
    <w:rsid w:val="00446F50"/>
    <w:rsid w:val="00447744"/>
    <w:rsid w:val="0044798E"/>
    <w:rsid w:val="00447E7D"/>
    <w:rsid w:val="00450C5C"/>
    <w:rsid w:val="00450FE1"/>
    <w:rsid w:val="00451166"/>
    <w:rsid w:val="00452083"/>
    <w:rsid w:val="004522A7"/>
    <w:rsid w:val="00452CED"/>
    <w:rsid w:val="0045309F"/>
    <w:rsid w:val="00453B16"/>
    <w:rsid w:val="00453B57"/>
    <w:rsid w:val="00454252"/>
    <w:rsid w:val="00454526"/>
    <w:rsid w:val="00455551"/>
    <w:rsid w:val="00455E9D"/>
    <w:rsid w:val="004565E2"/>
    <w:rsid w:val="00456AC1"/>
    <w:rsid w:val="00456C26"/>
    <w:rsid w:val="0045738B"/>
    <w:rsid w:val="0046051E"/>
    <w:rsid w:val="004607A3"/>
    <w:rsid w:val="00462830"/>
    <w:rsid w:val="00462AB0"/>
    <w:rsid w:val="00462FDB"/>
    <w:rsid w:val="00463957"/>
    <w:rsid w:val="004646E4"/>
    <w:rsid w:val="00464CEE"/>
    <w:rsid w:val="00465791"/>
    <w:rsid w:val="00467576"/>
    <w:rsid w:val="00470D94"/>
    <w:rsid w:val="00471422"/>
    <w:rsid w:val="00471CEA"/>
    <w:rsid w:val="0047329F"/>
    <w:rsid w:val="0047712B"/>
    <w:rsid w:val="004816F9"/>
    <w:rsid w:val="00481B4B"/>
    <w:rsid w:val="00482C58"/>
    <w:rsid w:val="004830F4"/>
    <w:rsid w:val="0048373C"/>
    <w:rsid w:val="00483AA0"/>
    <w:rsid w:val="00485060"/>
    <w:rsid w:val="00487AAE"/>
    <w:rsid w:val="0049218D"/>
    <w:rsid w:val="00492EBF"/>
    <w:rsid w:val="004932EA"/>
    <w:rsid w:val="004933CD"/>
    <w:rsid w:val="0049383D"/>
    <w:rsid w:val="00494C2B"/>
    <w:rsid w:val="004956B4"/>
    <w:rsid w:val="00495A56"/>
    <w:rsid w:val="0049752F"/>
    <w:rsid w:val="00497FC1"/>
    <w:rsid w:val="004A0192"/>
    <w:rsid w:val="004A122A"/>
    <w:rsid w:val="004A14DC"/>
    <w:rsid w:val="004A178F"/>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5515"/>
    <w:rsid w:val="004C6EED"/>
    <w:rsid w:val="004D0A4A"/>
    <w:rsid w:val="004D2C8A"/>
    <w:rsid w:val="004D32C2"/>
    <w:rsid w:val="004D4123"/>
    <w:rsid w:val="004D5C6F"/>
    <w:rsid w:val="004D74E7"/>
    <w:rsid w:val="004E0649"/>
    <w:rsid w:val="004E20D9"/>
    <w:rsid w:val="004E24AC"/>
    <w:rsid w:val="004E2E61"/>
    <w:rsid w:val="004E3B5B"/>
    <w:rsid w:val="004E4FBB"/>
    <w:rsid w:val="004E58E0"/>
    <w:rsid w:val="004E7B32"/>
    <w:rsid w:val="004F0D7F"/>
    <w:rsid w:val="004F18BB"/>
    <w:rsid w:val="004F3140"/>
    <w:rsid w:val="004F42F8"/>
    <w:rsid w:val="004F5666"/>
    <w:rsid w:val="004F79EA"/>
    <w:rsid w:val="0050062E"/>
    <w:rsid w:val="0050164B"/>
    <w:rsid w:val="005017D6"/>
    <w:rsid w:val="0050181A"/>
    <w:rsid w:val="00501D4F"/>
    <w:rsid w:val="00507CD9"/>
    <w:rsid w:val="00510AB7"/>
    <w:rsid w:val="005114A1"/>
    <w:rsid w:val="00511726"/>
    <w:rsid w:val="00511ACE"/>
    <w:rsid w:val="00511CC1"/>
    <w:rsid w:val="00512700"/>
    <w:rsid w:val="0051330A"/>
    <w:rsid w:val="00514B95"/>
    <w:rsid w:val="00516747"/>
    <w:rsid w:val="00517A84"/>
    <w:rsid w:val="0052118E"/>
    <w:rsid w:val="00521B5B"/>
    <w:rsid w:val="005225CB"/>
    <w:rsid w:val="005227A2"/>
    <w:rsid w:val="005227BB"/>
    <w:rsid w:val="00523D0A"/>
    <w:rsid w:val="00523DBC"/>
    <w:rsid w:val="00523DCD"/>
    <w:rsid w:val="00526297"/>
    <w:rsid w:val="00526499"/>
    <w:rsid w:val="00526D55"/>
    <w:rsid w:val="005276B7"/>
    <w:rsid w:val="0052798E"/>
    <w:rsid w:val="005300EB"/>
    <w:rsid w:val="005303CB"/>
    <w:rsid w:val="00530590"/>
    <w:rsid w:val="0053102F"/>
    <w:rsid w:val="00534CC6"/>
    <w:rsid w:val="005352F1"/>
    <w:rsid w:val="00536853"/>
    <w:rsid w:val="00537D6E"/>
    <w:rsid w:val="00540B9A"/>
    <w:rsid w:val="005424D6"/>
    <w:rsid w:val="00544922"/>
    <w:rsid w:val="00544CB5"/>
    <w:rsid w:val="0054574D"/>
    <w:rsid w:val="00545F68"/>
    <w:rsid w:val="00546245"/>
    <w:rsid w:val="005470A3"/>
    <w:rsid w:val="00547B2F"/>
    <w:rsid w:val="00547BA9"/>
    <w:rsid w:val="0055117C"/>
    <w:rsid w:val="00551A66"/>
    <w:rsid w:val="00552B60"/>
    <w:rsid w:val="005533CD"/>
    <w:rsid w:val="00553DBD"/>
    <w:rsid w:val="00554ECF"/>
    <w:rsid w:val="005555C5"/>
    <w:rsid w:val="00555E15"/>
    <w:rsid w:val="005567C6"/>
    <w:rsid w:val="005567CF"/>
    <w:rsid w:val="00557112"/>
    <w:rsid w:val="00561E6E"/>
    <w:rsid w:val="005623C3"/>
    <w:rsid w:val="00562528"/>
    <w:rsid w:val="00562783"/>
    <w:rsid w:val="00563A83"/>
    <w:rsid w:val="00564849"/>
    <w:rsid w:val="005656F0"/>
    <w:rsid w:val="00565D4E"/>
    <w:rsid w:val="00566BCF"/>
    <w:rsid w:val="00567568"/>
    <w:rsid w:val="00567582"/>
    <w:rsid w:val="005676EF"/>
    <w:rsid w:val="00567A01"/>
    <w:rsid w:val="005706D2"/>
    <w:rsid w:val="00570C37"/>
    <w:rsid w:val="00570F03"/>
    <w:rsid w:val="005717BC"/>
    <w:rsid w:val="005729C4"/>
    <w:rsid w:val="00572F85"/>
    <w:rsid w:val="005752DD"/>
    <w:rsid w:val="00575C3E"/>
    <w:rsid w:val="00576100"/>
    <w:rsid w:val="00576A17"/>
    <w:rsid w:val="00576A7D"/>
    <w:rsid w:val="005803C8"/>
    <w:rsid w:val="005815EE"/>
    <w:rsid w:val="00581A18"/>
    <w:rsid w:val="00581FF6"/>
    <w:rsid w:val="00582562"/>
    <w:rsid w:val="005827A6"/>
    <w:rsid w:val="00582DD4"/>
    <w:rsid w:val="00583CD4"/>
    <w:rsid w:val="0058595B"/>
    <w:rsid w:val="00586106"/>
    <w:rsid w:val="005864A5"/>
    <w:rsid w:val="00587C29"/>
    <w:rsid w:val="00590D0B"/>
    <w:rsid w:val="005914DA"/>
    <w:rsid w:val="005916F8"/>
    <w:rsid w:val="00591F6B"/>
    <w:rsid w:val="00594A91"/>
    <w:rsid w:val="00595DAD"/>
    <w:rsid w:val="005975BB"/>
    <w:rsid w:val="005A0A55"/>
    <w:rsid w:val="005A1FC1"/>
    <w:rsid w:val="005A2359"/>
    <w:rsid w:val="005A2DEC"/>
    <w:rsid w:val="005A386F"/>
    <w:rsid w:val="005A40ED"/>
    <w:rsid w:val="005A4271"/>
    <w:rsid w:val="005A54F7"/>
    <w:rsid w:val="005A761C"/>
    <w:rsid w:val="005B044F"/>
    <w:rsid w:val="005B06D2"/>
    <w:rsid w:val="005B26B4"/>
    <w:rsid w:val="005B2D5C"/>
    <w:rsid w:val="005B386C"/>
    <w:rsid w:val="005B5B10"/>
    <w:rsid w:val="005B5BE3"/>
    <w:rsid w:val="005B70E2"/>
    <w:rsid w:val="005B74F4"/>
    <w:rsid w:val="005B7675"/>
    <w:rsid w:val="005B7D79"/>
    <w:rsid w:val="005B7FBD"/>
    <w:rsid w:val="005C0888"/>
    <w:rsid w:val="005C274E"/>
    <w:rsid w:val="005C323C"/>
    <w:rsid w:val="005C33FD"/>
    <w:rsid w:val="005C3715"/>
    <w:rsid w:val="005C449A"/>
    <w:rsid w:val="005C61F9"/>
    <w:rsid w:val="005C7E03"/>
    <w:rsid w:val="005D26C7"/>
    <w:rsid w:val="005D2884"/>
    <w:rsid w:val="005D523E"/>
    <w:rsid w:val="005D52EE"/>
    <w:rsid w:val="005D7384"/>
    <w:rsid w:val="005D7460"/>
    <w:rsid w:val="005E24B2"/>
    <w:rsid w:val="005E2D3B"/>
    <w:rsid w:val="005E370C"/>
    <w:rsid w:val="005E3F2C"/>
    <w:rsid w:val="005E4F67"/>
    <w:rsid w:val="005E5591"/>
    <w:rsid w:val="005E55BC"/>
    <w:rsid w:val="005E6E1B"/>
    <w:rsid w:val="005F0845"/>
    <w:rsid w:val="005F0E06"/>
    <w:rsid w:val="005F14C7"/>
    <w:rsid w:val="005F1FA5"/>
    <w:rsid w:val="005F2DAF"/>
    <w:rsid w:val="005F32EE"/>
    <w:rsid w:val="005F3361"/>
    <w:rsid w:val="005F3EEC"/>
    <w:rsid w:val="005F46FC"/>
    <w:rsid w:val="005F4871"/>
    <w:rsid w:val="005F4EB1"/>
    <w:rsid w:val="005F603F"/>
    <w:rsid w:val="005F65E6"/>
    <w:rsid w:val="005F6A70"/>
    <w:rsid w:val="005F7935"/>
    <w:rsid w:val="0060029E"/>
    <w:rsid w:val="006002EA"/>
    <w:rsid w:val="00600711"/>
    <w:rsid w:val="00600E93"/>
    <w:rsid w:val="006022BD"/>
    <w:rsid w:val="00602CA8"/>
    <w:rsid w:val="00603021"/>
    <w:rsid w:val="00605E9B"/>
    <w:rsid w:val="00606603"/>
    <w:rsid w:val="00606C60"/>
    <w:rsid w:val="0060777A"/>
    <w:rsid w:val="006100F4"/>
    <w:rsid w:val="00611018"/>
    <w:rsid w:val="00612A60"/>
    <w:rsid w:val="006133FD"/>
    <w:rsid w:val="00614647"/>
    <w:rsid w:val="00615384"/>
    <w:rsid w:val="00615B5E"/>
    <w:rsid w:val="00620A2D"/>
    <w:rsid w:val="00620EE8"/>
    <w:rsid w:val="0062133C"/>
    <w:rsid w:val="00622080"/>
    <w:rsid w:val="00622970"/>
    <w:rsid w:val="00623681"/>
    <w:rsid w:val="00626417"/>
    <w:rsid w:val="00627564"/>
    <w:rsid w:val="0062781E"/>
    <w:rsid w:val="00630550"/>
    <w:rsid w:val="00631D57"/>
    <w:rsid w:val="0063249D"/>
    <w:rsid w:val="006344DE"/>
    <w:rsid w:val="00637283"/>
    <w:rsid w:val="0063730B"/>
    <w:rsid w:val="006379C8"/>
    <w:rsid w:val="00640D97"/>
    <w:rsid w:val="00640F67"/>
    <w:rsid w:val="00642359"/>
    <w:rsid w:val="0064262F"/>
    <w:rsid w:val="0064471D"/>
    <w:rsid w:val="00644D90"/>
    <w:rsid w:val="006470A9"/>
    <w:rsid w:val="006505DC"/>
    <w:rsid w:val="006509D6"/>
    <w:rsid w:val="006513F7"/>
    <w:rsid w:val="00651589"/>
    <w:rsid w:val="00651A97"/>
    <w:rsid w:val="0065292A"/>
    <w:rsid w:val="00652951"/>
    <w:rsid w:val="00652AC7"/>
    <w:rsid w:val="00653688"/>
    <w:rsid w:val="00653D70"/>
    <w:rsid w:val="006547F2"/>
    <w:rsid w:val="00654A50"/>
    <w:rsid w:val="00654FFB"/>
    <w:rsid w:val="006550A9"/>
    <w:rsid w:val="00657C95"/>
    <w:rsid w:val="00657F60"/>
    <w:rsid w:val="00661864"/>
    <w:rsid w:val="006621A8"/>
    <w:rsid w:val="00662472"/>
    <w:rsid w:val="00662496"/>
    <w:rsid w:val="0066294C"/>
    <w:rsid w:val="00667DBB"/>
    <w:rsid w:val="00671441"/>
    <w:rsid w:val="00671BEB"/>
    <w:rsid w:val="00671D54"/>
    <w:rsid w:val="0067402F"/>
    <w:rsid w:val="00674293"/>
    <w:rsid w:val="00675706"/>
    <w:rsid w:val="00675CCD"/>
    <w:rsid w:val="00676C23"/>
    <w:rsid w:val="00677369"/>
    <w:rsid w:val="006773AB"/>
    <w:rsid w:val="0067767C"/>
    <w:rsid w:val="006800DA"/>
    <w:rsid w:val="00681789"/>
    <w:rsid w:val="00681CA4"/>
    <w:rsid w:val="0068246C"/>
    <w:rsid w:val="0068329E"/>
    <w:rsid w:val="0068529E"/>
    <w:rsid w:val="00685D4D"/>
    <w:rsid w:val="00686046"/>
    <w:rsid w:val="006867B3"/>
    <w:rsid w:val="006900CB"/>
    <w:rsid w:val="006903E0"/>
    <w:rsid w:val="00690BED"/>
    <w:rsid w:val="006921D3"/>
    <w:rsid w:val="006934CD"/>
    <w:rsid w:val="00693505"/>
    <w:rsid w:val="006A38A4"/>
    <w:rsid w:val="006A3A5D"/>
    <w:rsid w:val="006A3DAD"/>
    <w:rsid w:val="006A3E94"/>
    <w:rsid w:val="006A5445"/>
    <w:rsid w:val="006A73FB"/>
    <w:rsid w:val="006B06F5"/>
    <w:rsid w:val="006B081B"/>
    <w:rsid w:val="006B1A6C"/>
    <w:rsid w:val="006B290B"/>
    <w:rsid w:val="006B292D"/>
    <w:rsid w:val="006B36AD"/>
    <w:rsid w:val="006B3B7E"/>
    <w:rsid w:val="006B46A8"/>
    <w:rsid w:val="006B4EEB"/>
    <w:rsid w:val="006B575E"/>
    <w:rsid w:val="006B5F02"/>
    <w:rsid w:val="006B66D2"/>
    <w:rsid w:val="006B68DF"/>
    <w:rsid w:val="006B69D5"/>
    <w:rsid w:val="006B75B2"/>
    <w:rsid w:val="006C07A5"/>
    <w:rsid w:val="006C0869"/>
    <w:rsid w:val="006C0DF4"/>
    <w:rsid w:val="006C1519"/>
    <w:rsid w:val="006C237E"/>
    <w:rsid w:val="006C2FE2"/>
    <w:rsid w:val="006C5C5F"/>
    <w:rsid w:val="006C705E"/>
    <w:rsid w:val="006C7212"/>
    <w:rsid w:val="006D0902"/>
    <w:rsid w:val="006D1652"/>
    <w:rsid w:val="006D2E43"/>
    <w:rsid w:val="006D3763"/>
    <w:rsid w:val="006D416E"/>
    <w:rsid w:val="006D469C"/>
    <w:rsid w:val="006D6F4D"/>
    <w:rsid w:val="006D7997"/>
    <w:rsid w:val="006D7D0A"/>
    <w:rsid w:val="006E08BA"/>
    <w:rsid w:val="006E0AD1"/>
    <w:rsid w:val="006E1322"/>
    <w:rsid w:val="006E1B98"/>
    <w:rsid w:val="006E259C"/>
    <w:rsid w:val="006E2A30"/>
    <w:rsid w:val="006E3391"/>
    <w:rsid w:val="006E3601"/>
    <w:rsid w:val="006E385B"/>
    <w:rsid w:val="006E3D03"/>
    <w:rsid w:val="006E65A1"/>
    <w:rsid w:val="006E71CB"/>
    <w:rsid w:val="006E797F"/>
    <w:rsid w:val="006F0288"/>
    <w:rsid w:val="006F0818"/>
    <w:rsid w:val="006F1AA6"/>
    <w:rsid w:val="006F220E"/>
    <w:rsid w:val="006F288A"/>
    <w:rsid w:val="006F2B73"/>
    <w:rsid w:val="006F365D"/>
    <w:rsid w:val="006F41C9"/>
    <w:rsid w:val="006F4F53"/>
    <w:rsid w:val="006F4FF6"/>
    <w:rsid w:val="006F5629"/>
    <w:rsid w:val="006F5A86"/>
    <w:rsid w:val="006F5E3B"/>
    <w:rsid w:val="006F5FBC"/>
    <w:rsid w:val="006F7F05"/>
    <w:rsid w:val="007008C3"/>
    <w:rsid w:val="007012F8"/>
    <w:rsid w:val="00701DF9"/>
    <w:rsid w:val="007034AB"/>
    <w:rsid w:val="0070392A"/>
    <w:rsid w:val="0070512C"/>
    <w:rsid w:val="00710338"/>
    <w:rsid w:val="007103A8"/>
    <w:rsid w:val="007107C6"/>
    <w:rsid w:val="0071086A"/>
    <w:rsid w:val="00712206"/>
    <w:rsid w:val="00712B4F"/>
    <w:rsid w:val="00712E1C"/>
    <w:rsid w:val="00713475"/>
    <w:rsid w:val="007137FA"/>
    <w:rsid w:val="00713FD8"/>
    <w:rsid w:val="00714CE0"/>
    <w:rsid w:val="00714D6F"/>
    <w:rsid w:val="0071533F"/>
    <w:rsid w:val="0071560B"/>
    <w:rsid w:val="00716270"/>
    <w:rsid w:val="00716400"/>
    <w:rsid w:val="00716D14"/>
    <w:rsid w:val="007202B9"/>
    <w:rsid w:val="00721329"/>
    <w:rsid w:val="007213CE"/>
    <w:rsid w:val="00721EBE"/>
    <w:rsid w:val="00721EF3"/>
    <w:rsid w:val="0072261F"/>
    <w:rsid w:val="007230E1"/>
    <w:rsid w:val="00725C98"/>
    <w:rsid w:val="00727C63"/>
    <w:rsid w:val="0073091A"/>
    <w:rsid w:val="00731630"/>
    <w:rsid w:val="0073197F"/>
    <w:rsid w:val="00731D18"/>
    <w:rsid w:val="00731D75"/>
    <w:rsid w:val="007322C1"/>
    <w:rsid w:val="0073257F"/>
    <w:rsid w:val="00734927"/>
    <w:rsid w:val="00734C96"/>
    <w:rsid w:val="007369D1"/>
    <w:rsid w:val="00740C1C"/>
    <w:rsid w:val="00741410"/>
    <w:rsid w:val="0074291E"/>
    <w:rsid w:val="00744547"/>
    <w:rsid w:val="0074483E"/>
    <w:rsid w:val="00744B4B"/>
    <w:rsid w:val="00745D72"/>
    <w:rsid w:val="007473D4"/>
    <w:rsid w:val="00747471"/>
    <w:rsid w:val="007474D1"/>
    <w:rsid w:val="00747861"/>
    <w:rsid w:val="00753AB0"/>
    <w:rsid w:val="007542FF"/>
    <w:rsid w:val="00754B64"/>
    <w:rsid w:val="00755B4A"/>
    <w:rsid w:val="007563B4"/>
    <w:rsid w:val="00760445"/>
    <w:rsid w:val="007622B4"/>
    <w:rsid w:val="00767576"/>
    <w:rsid w:val="00770513"/>
    <w:rsid w:val="007710CA"/>
    <w:rsid w:val="007725FB"/>
    <w:rsid w:val="00772A74"/>
    <w:rsid w:val="00772A78"/>
    <w:rsid w:val="007730D9"/>
    <w:rsid w:val="00774939"/>
    <w:rsid w:val="00780170"/>
    <w:rsid w:val="00780495"/>
    <w:rsid w:val="00780D27"/>
    <w:rsid w:val="00782B4A"/>
    <w:rsid w:val="0078515C"/>
    <w:rsid w:val="0078544D"/>
    <w:rsid w:val="00785C26"/>
    <w:rsid w:val="00785E93"/>
    <w:rsid w:val="007868B4"/>
    <w:rsid w:val="00787DA9"/>
    <w:rsid w:val="00790605"/>
    <w:rsid w:val="007912E3"/>
    <w:rsid w:val="00791743"/>
    <w:rsid w:val="0079303D"/>
    <w:rsid w:val="0079371B"/>
    <w:rsid w:val="00793CAF"/>
    <w:rsid w:val="00795645"/>
    <w:rsid w:val="00795E3C"/>
    <w:rsid w:val="007967DE"/>
    <w:rsid w:val="00797B4A"/>
    <w:rsid w:val="00797DE8"/>
    <w:rsid w:val="007A0116"/>
    <w:rsid w:val="007A0F29"/>
    <w:rsid w:val="007A1463"/>
    <w:rsid w:val="007A186E"/>
    <w:rsid w:val="007A1890"/>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AD6"/>
    <w:rsid w:val="007B5147"/>
    <w:rsid w:val="007B5BCF"/>
    <w:rsid w:val="007B65F9"/>
    <w:rsid w:val="007B681F"/>
    <w:rsid w:val="007B6CEC"/>
    <w:rsid w:val="007B7691"/>
    <w:rsid w:val="007B794F"/>
    <w:rsid w:val="007B79D4"/>
    <w:rsid w:val="007B79F3"/>
    <w:rsid w:val="007C0989"/>
    <w:rsid w:val="007C1289"/>
    <w:rsid w:val="007C41C8"/>
    <w:rsid w:val="007C4DB0"/>
    <w:rsid w:val="007C4E49"/>
    <w:rsid w:val="007C5295"/>
    <w:rsid w:val="007C6276"/>
    <w:rsid w:val="007C6718"/>
    <w:rsid w:val="007D1598"/>
    <w:rsid w:val="007D2DC8"/>
    <w:rsid w:val="007D3266"/>
    <w:rsid w:val="007D44BA"/>
    <w:rsid w:val="007D4C9D"/>
    <w:rsid w:val="007D61E8"/>
    <w:rsid w:val="007D6B70"/>
    <w:rsid w:val="007D7026"/>
    <w:rsid w:val="007D7635"/>
    <w:rsid w:val="007D7D8C"/>
    <w:rsid w:val="007D7FC5"/>
    <w:rsid w:val="007E3779"/>
    <w:rsid w:val="007E3FBD"/>
    <w:rsid w:val="007E471C"/>
    <w:rsid w:val="007E4B21"/>
    <w:rsid w:val="007E4E33"/>
    <w:rsid w:val="007E5190"/>
    <w:rsid w:val="007E6681"/>
    <w:rsid w:val="007E67AA"/>
    <w:rsid w:val="007E6A96"/>
    <w:rsid w:val="007F16B4"/>
    <w:rsid w:val="007F26D5"/>
    <w:rsid w:val="007F35DE"/>
    <w:rsid w:val="007F4704"/>
    <w:rsid w:val="007F50D0"/>
    <w:rsid w:val="007F546A"/>
    <w:rsid w:val="007F7872"/>
    <w:rsid w:val="007F7B7F"/>
    <w:rsid w:val="00800D0C"/>
    <w:rsid w:val="00800FBC"/>
    <w:rsid w:val="00802227"/>
    <w:rsid w:val="00802AA3"/>
    <w:rsid w:val="00802DB7"/>
    <w:rsid w:val="008031B1"/>
    <w:rsid w:val="0080347C"/>
    <w:rsid w:val="008053B7"/>
    <w:rsid w:val="008055B5"/>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D56"/>
    <w:rsid w:val="00822555"/>
    <w:rsid w:val="008244DD"/>
    <w:rsid w:val="00824645"/>
    <w:rsid w:val="00824D01"/>
    <w:rsid w:val="00826E39"/>
    <w:rsid w:val="008313DD"/>
    <w:rsid w:val="00831D67"/>
    <w:rsid w:val="008323BE"/>
    <w:rsid w:val="00832B4A"/>
    <w:rsid w:val="008333A0"/>
    <w:rsid w:val="0083383F"/>
    <w:rsid w:val="00833F24"/>
    <w:rsid w:val="00834197"/>
    <w:rsid w:val="00834573"/>
    <w:rsid w:val="00834CF5"/>
    <w:rsid w:val="00835864"/>
    <w:rsid w:val="00835DF1"/>
    <w:rsid w:val="00837387"/>
    <w:rsid w:val="00840362"/>
    <w:rsid w:val="00840AC8"/>
    <w:rsid w:val="00842376"/>
    <w:rsid w:val="00844562"/>
    <w:rsid w:val="00844B8B"/>
    <w:rsid w:val="00844CBB"/>
    <w:rsid w:val="00844D6E"/>
    <w:rsid w:val="0084675F"/>
    <w:rsid w:val="008472D4"/>
    <w:rsid w:val="00847597"/>
    <w:rsid w:val="00847F42"/>
    <w:rsid w:val="00850F07"/>
    <w:rsid w:val="0085257B"/>
    <w:rsid w:val="008525D2"/>
    <w:rsid w:val="0085290A"/>
    <w:rsid w:val="00852916"/>
    <w:rsid w:val="00854050"/>
    <w:rsid w:val="00854454"/>
    <w:rsid w:val="00856A97"/>
    <w:rsid w:val="00857720"/>
    <w:rsid w:val="00857915"/>
    <w:rsid w:val="008600D6"/>
    <w:rsid w:val="008605B6"/>
    <w:rsid w:val="00861918"/>
    <w:rsid w:val="008649A4"/>
    <w:rsid w:val="00864F55"/>
    <w:rsid w:val="008728C6"/>
    <w:rsid w:val="008733B8"/>
    <w:rsid w:val="0087379B"/>
    <w:rsid w:val="008749AC"/>
    <w:rsid w:val="0087549A"/>
    <w:rsid w:val="00875EB2"/>
    <w:rsid w:val="00875ED4"/>
    <w:rsid w:val="00877EC5"/>
    <w:rsid w:val="00880BB4"/>
    <w:rsid w:val="00880D69"/>
    <w:rsid w:val="008815E3"/>
    <w:rsid w:val="00882711"/>
    <w:rsid w:val="00882751"/>
    <w:rsid w:val="00882F21"/>
    <w:rsid w:val="0088516E"/>
    <w:rsid w:val="008859C1"/>
    <w:rsid w:val="0088663E"/>
    <w:rsid w:val="00890A85"/>
    <w:rsid w:val="008919D1"/>
    <w:rsid w:val="00891AD9"/>
    <w:rsid w:val="0089236B"/>
    <w:rsid w:val="00892407"/>
    <w:rsid w:val="008936E9"/>
    <w:rsid w:val="00895CFE"/>
    <w:rsid w:val="00895F30"/>
    <w:rsid w:val="00895F53"/>
    <w:rsid w:val="0089627C"/>
    <w:rsid w:val="0089627D"/>
    <w:rsid w:val="00896635"/>
    <w:rsid w:val="00896692"/>
    <w:rsid w:val="008A0C10"/>
    <w:rsid w:val="008A1243"/>
    <w:rsid w:val="008A12A2"/>
    <w:rsid w:val="008A1661"/>
    <w:rsid w:val="008A2056"/>
    <w:rsid w:val="008A2203"/>
    <w:rsid w:val="008A3817"/>
    <w:rsid w:val="008A3CD4"/>
    <w:rsid w:val="008A4C45"/>
    <w:rsid w:val="008A564A"/>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75E2"/>
    <w:rsid w:val="008B7A47"/>
    <w:rsid w:val="008B7EC2"/>
    <w:rsid w:val="008C0C1D"/>
    <w:rsid w:val="008C2713"/>
    <w:rsid w:val="008C2D59"/>
    <w:rsid w:val="008C3066"/>
    <w:rsid w:val="008C362A"/>
    <w:rsid w:val="008C495D"/>
    <w:rsid w:val="008C7D0F"/>
    <w:rsid w:val="008C7DA5"/>
    <w:rsid w:val="008D0015"/>
    <w:rsid w:val="008D0762"/>
    <w:rsid w:val="008D0ED9"/>
    <w:rsid w:val="008D11C4"/>
    <w:rsid w:val="008D1336"/>
    <w:rsid w:val="008D20DF"/>
    <w:rsid w:val="008D28BC"/>
    <w:rsid w:val="008D3022"/>
    <w:rsid w:val="008D3C0A"/>
    <w:rsid w:val="008D42B6"/>
    <w:rsid w:val="008E01A7"/>
    <w:rsid w:val="008E08B0"/>
    <w:rsid w:val="008E0B76"/>
    <w:rsid w:val="008E3BBC"/>
    <w:rsid w:val="008E3BF5"/>
    <w:rsid w:val="008E4209"/>
    <w:rsid w:val="008E46A4"/>
    <w:rsid w:val="008E5874"/>
    <w:rsid w:val="008E6203"/>
    <w:rsid w:val="008E65FD"/>
    <w:rsid w:val="008F00C9"/>
    <w:rsid w:val="008F0BB6"/>
    <w:rsid w:val="008F1213"/>
    <w:rsid w:val="008F4EE0"/>
    <w:rsid w:val="008F717A"/>
    <w:rsid w:val="008F777C"/>
    <w:rsid w:val="0090051E"/>
    <w:rsid w:val="009014C1"/>
    <w:rsid w:val="009019D0"/>
    <w:rsid w:val="00902C40"/>
    <w:rsid w:val="00903340"/>
    <w:rsid w:val="00903C0B"/>
    <w:rsid w:val="00904046"/>
    <w:rsid w:val="009056A9"/>
    <w:rsid w:val="0090573D"/>
    <w:rsid w:val="00905FE4"/>
    <w:rsid w:val="0091023F"/>
    <w:rsid w:val="00910E8F"/>
    <w:rsid w:val="00912FEB"/>
    <w:rsid w:val="009139E9"/>
    <w:rsid w:val="00915D37"/>
    <w:rsid w:val="009207A3"/>
    <w:rsid w:val="009211D1"/>
    <w:rsid w:val="00922E67"/>
    <w:rsid w:val="00922F89"/>
    <w:rsid w:val="0092465B"/>
    <w:rsid w:val="00924891"/>
    <w:rsid w:val="009256C7"/>
    <w:rsid w:val="00930BA5"/>
    <w:rsid w:val="00932349"/>
    <w:rsid w:val="009345B1"/>
    <w:rsid w:val="00934F73"/>
    <w:rsid w:val="009354C2"/>
    <w:rsid w:val="00935E0B"/>
    <w:rsid w:val="009368C2"/>
    <w:rsid w:val="00936D8F"/>
    <w:rsid w:val="00937173"/>
    <w:rsid w:val="009379D2"/>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9FD"/>
    <w:rsid w:val="00962114"/>
    <w:rsid w:val="00962645"/>
    <w:rsid w:val="00963E96"/>
    <w:rsid w:val="00963EA5"/>
    <w:rsid w:val="00964B2C"/>
    <w:rsid w:val="0096502C"/>
    <w:rsid w:val="0096582D"/>
    <w:rsid w:val="00966239"/>
    <w:rsid w:val="009664E2"/>
    <w:rsid w:val="00966DC1"/>
    <w:rsid w:val="009713CC"/>
    <w:rsid w:val="00972030"/>
    <w:rsid w:val="009720A0"/>
    <w:rsid w:val="00972593"/>
    <w:rsid w:val="00973060"/>
    <w:rsid w:val="00973435"/>
    <w:rsid w:val="009749E8"/>
    <w:rsid w:val="00974AB6"/>
    <w:rsid w:val="00977781"/>
    <w:rsid w:val="00977A96"/>
    <w:rsid w:val="00980E0F"/>
    <w:rsid w:val="0098128E"/>
    <w:rsid w:val="0098154F"/>
    <w:rsid w:val="00982E0A"/>
    <w:rsid w:val="00982FFE"/>
    <w:rsid w:val="0098555D"/>
    <w:rsid w:val="00986639"/>
    <w:rsid w:val="009904F1"/>
    <w:rsid w:val="00990522"/>
    <w:rsid w:val="00992B63"/>
    <w:rsid w:val="00993860"/>
    <w:rsid w:val="0099603D"/>
    <w:rsid w:val="009963C8"/>
    <w:rsid w:val="00997570"/>
    <w:rsid w:val="0099782B"/>
    <w:rsid w:val="009A02C1"/>
    <w:rsid w:val="009A0598"/>
    <w:rsid w:val="009A09B2"/>
    <w:rsid w:val="009A2CF7"/>
    <w:rsid w:val="009A3F23"/>
    <w:rsid w:val="009A3F31"/>
    <w:rsid w:val="009A54C9"/>
    <w:rsid w:val="009A6502"/>
    <w:rsid w:val="009B0526"/>
    <w:rsid w:val="009B086B"/>
    <w:rsid w:val="009B1D5D"/>
    <w:rsid w:val="009B2F45"/>
    <w:rsid w:val="009B3DD4"/>
    <w:rsid w:val="009B4158"/>
    <w:rsid w:val="009B438A"/>
    <w:rsid w:val="009B4849"/>
    <w:rsid w:val="009B54E1"/>
    <w:rsid w:val="009C1966"/>
    <w:rsid w:val="009C3BC3"/>
    <w:rsid w:val="009C435A"/>
    <w:rsid w:val="009C4C41"/>
    <w:rsid w:val="009C64A6"/>
    <w:rsid w:val="009C65B7"/>
    <w:rsid w:val="009C7432"/>
    <w:rsid w:val="009D031C"/>
    <w:rsid w:val="009D0FAD"/>
    <w:rsid w:val="009D121A"/>
    <w:rsid w:val="009D3183"/>
    <w:rsid w:val="009D3627"/>
    <w:rsid w:val="009D554F"/>
    <w:rsid w:val="009D5F67"/>
    <w:rsid w:val="009D692B"/>
    <w:rsid w:val="009D738E"/>
    <w:rsid w:val="009E018B"/>
    <w:rsid w:val="009E05D8"/>
    <w:rsid w:val="009E1119"/>
    <w:rsid w:val="009E184B"/>
    <w:rsid w:val="009E3054"/>
    <w:rsid w:val="009E531E"/>
    <w:rsid w:val="009E5904"/>
    <w:rsid w:val="009E5909"/>
    <w:rsid w:val="009E7128"/>
    <w:rsid w:val="009E71C2"/>
    <w:rsid w:val="009E7390"/>
    <w:rsid w:val="009E75B7"/>
    <w:rsid w:val="009F0D28"/>
    <w:rsid w:val="009F0E6A"/>
    <w:rsid w:val="009F0F86"/>
    <w:rsid w:val="009F1C42"/>
    <w:rsid w:val="009F1CEC"/>
    <w:rsid w:val="009F3BB9"/>
    <w:rsid w:val="009F3EA6"/>
    <w:rsid w:val="009F3F8E"/>
    <w:rsid w:val="009F5714"/>
    <w:rsid w:val="009F5951"/>
    <w:rsid w:val="009F6A51"/>
    <w:rsid w:val="00A00710"/>
    <w:rsid w:val="00A010ED"/>
    <w:rsid w:val="00A01C24"/>
    <w:rsid w:val="00A02FDF"/>
    <w:rsid w:val="00A0486D"/>
    <w:rsid w:val="00A05423"/>
    <w:rsid w:val="00A05703"/>
    <w:rsid w:val="00A07B95"/>
    <w:rsid w:val="00A07DBC"/>
    <w:rsid w:val="00A10E65"/>
    <w:rsid w:val="00A1242C"/>
    <w:rsid w:val="00A135C8"/>
    <w:rsid w:val="00A1544A"/>
    <w:rsid w:val="00A160AA"/>
    <w:rsid w:val="00A17316"/>
    <w:rsid w:val="00A212A1"/>
    <w:rsid w:val="00A2358A"/>
    <w:rsid w:val="00A23A59"/>
    <w:rsid w:val="00A23F0D"/>
    <w:rsid w:val="00A24B97"/>
    <w:rsid w:val="00A24C5B"/>
    <w:rsid w:val="00A24C94"/>
    <w:rsid w:val="00A26BBD"/>
    <w:rsid w:val="00A30084"/>
    <w:rsid w:val="00A30D5D"/>
    <w:rsid w:val="00A32038"/>
    <w:rsid w:val="00A32B92"/>
    <w:rsid w:val="00A33168"/>
    <w:rsid w:val="00A3352B"/>
    <w:rsid w:val="00A33657"/>
    <w:rsid w:val="00A33702"/>
    <w:rsid w:val="00A339AA"/>
    <w:rsid w:val="00A33A6B"/>
    <w:rsid w:val="00A34E34"/>
    <w:rsid w:val="00A34F29"/>
    <w:rsid w:val="00A35C9B"/>
    <w:rsid w:val="00A36720"/>
    <w:rsid w:val="00A37CD0"/>
    <w:rsid w:val="00A37F98"/>
    <w:rsid w:val="00A4030A"/>
    <w:rsid w:val="00A4070D"/>
    <w:rsid w:val="00A40BB3"/>
    <w:rsid w:val="00A41D40"/>
    <w:rsid w:val="00A437CF"/>
    <w:rsid w:val="00A43DC1"/>
    <w:rsid w:val="00A44725"/>
    <w:rsid w:val="00A44ADB"/>
    <w:rsid w:val="00A45295"/>
    <w:rsid w:val="00A452BC"/>
    <w:rsid w:val="00A47048"/>
    <w:rsid w:val="00A4724F"/>
    <w:rsid w:val="00A5008A"/>
    <w:rsid w:val="00A50857"/>
    <w:rsid w:val="00A5085E"/>
    <w:rsid w:val="00A50C61"/>
    <w:rsid w:val="00A52631"/>
    <w:rsid w:val="00A5349D"/>
    <w:rsid w:val="00A541B9"/>
    <w:rsid w:val="00A55ECD"/>
    <w:rsid w:val="00A5683D"/>
    <w:rsid w:val="00A56D3C"/>
    <w:rsid w:val="00A57BCC"/>
    <w:rsid w:val="00A6044A"/>
    <w:rsid w:val="00A60565"/>
    <w:rsid w:val="00A60784"/>
    <w:rsid w:val="00A60A4E"/>
    <w:rsid w:val="00A6502D"/>
    <w:rsid w:val="00A65991"/>
    <w:rsid w:val="00A66FCE"/>
    <w:rsid w:val="00A67E3F"/>
    <w:rsid w:val="00A70D07"/>
    <w:rsid w:val="00A7146A"/>
    <w:rsid w:val="00A74DC1"/>
    <w:rsid w:val="00A77632"/>
    <w:rsid w:val="00A77D1C"/>
    <w:rsid w:val="00A77D54"/>
    <w:rsid w:val="00A80357"/>
    <w:rsid w:val="00A80DCB"/>
    <w:rsid w:val="00A83786"/>
    <w:rsid w:val="00A85513"/>
    <w:rsid w:val="00A85E4D"/>
    <w:rsid w:val="00A90D5D"/>
    <w:rsid w:val="00A90E46"/>
    <w:rsid w:val="00A918A0"/>
    <w:rsid w:val="00A91955"/>
    <w:rsid w:val="00A92497"/>
    <w:rsid w:val="00A94949"/>
    <w:rsid w:val="00A94CB8"/>
    <w:rsid w:val="00A95056"/>
    <w:rsid w:val="00A96B3E"/>
    <w:rsid w:val="00AA0777"/>
    <w:rsid w:val="00AA0F5E"/>
    <w:rsid w:val="00AA11EC"/>
    <w:rsid w:val="00AA1614"/>
    <w:rsid w:val="00AA1DB0"/>
    <w:rsid w:val="00AA367A"/>
    <w:rsid w:val="00AA3870"/>
    <w:rsid w:val="00AA67BA"/>
    <w:rsid w:val="00AA6C20"/>
    <w:rsid w:val="00AA6ECD"/>
    <w:rsid w:val="00AA721A"/>
    <w:rsid w:val="00AA7863"/>
    <w:rsid w:val="00AB0E1C"/>
    <w:rsid w:val="00AB0FB9"/>
    <w:rsid w:val="00AB1EFA"/>
    <w:rsid w:val="00AB2A8C"/>
    <w:rsid w:val="00AB3AFA"/>
    <w:rsid w:val="00AB3D19"/>
    <w:rsid w:val="00AB4145"/>
    <w:rsid w:val="00AB440A"/>
    <w:rsid w:val="00AB451C"/>
    <w:rsid w:val="00AB458E"/>
    <w:rsid w:val="00AB4F16"/>
    <w:rsid w:val="00AB5734"/>
    <w:rsid w:val="00AB5CFB"/>
    <w:rsid w:val="00AB6C96"/>
    <w:rsid w:val="00AC0609"/>
    <w:rsid w:val="00AC141C"/>
    <w:rsid w:val="00AC1CBE"/>
    <w:rsid w:val="00AC1D05"/>
    <w:rsid w:val="00AC26F2"/>
    <w:rsid w:val="00AC4189"/>
    <w:rsid w:val="00AC4AE8"/>
    <w:rsid w:val="00AC5316"/>
    <w:rsid w:val="00AD13E2"/>
    <w:rsid w:val="00AD20D9"/>
    <w:rsid w:val="00AD2491"/>
    <w:rsid w:val="00AD2AF9"/>
    <w:rsid w:val="00AD30DD"/>
    <w:rsid w:val="00AD47E2"/>
    <w:rsid w:val="00AD50B2"/>
    <w:rsid w:val="00AD59D5"/>
    <w:rsid w:val="00AD77BA"/>
    <w:rsid w:val="00AE11F7"/>
    <w:rsid w:val="00AE26E4"/>
    <w:rsid w:val="00AE2EF1"/>
    <w:rsid w:val="00AE36B6"/>
    <w:rsid w:val="00AE59FD"/>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7067"/>
    <w:rsid w:val="00AF72FD"/>
    <w:rsid w:val="00AF766F"/>
    <w:rsid w:val="00AF7A4B"/>
    <w:rsid w:val="00AF7B0E"/>
    <w:rsid w:val="00B001C6"/>
    <w:rsid w:val="00B020B9"/>
    <w:rsid w:val="00B023F0"/>
    <w:rsid w:val="00B02559"/>
    <w:rsid w:val="00B02677"/>
    <w:rsid w:val="00B038AF"/>
    <w:rsid w:val="00B03F9E"/>
    <w:rsid w:val="00B042ED"/>
    <w:rsid w:val="00B106BB"/>
    <w:rsid w:val="00B11393"/>
    <w:rsid w:val="00B118CD"/>
    <w:rsid w:val="00B11AE3"/>
    <w:rsid w:val="00B1399F"/>
    <w:rsid w:val="00B13A91"/>
    <w:rsid w:val="00B13B43"/>
    <w:rsid w:val="00B144C8"/>
    <w:rsid w:val="00B1704E"/>
    <w:rsid w:val="00B17DEA"/>
    <w:rsid w:val="00B2064F"/>
    <w:rsid w:val="00B20ACE"/>
    <w:rsid w:val="00B20BA0"/>
    <w:rsid w:val="00B2309A"/>
    <w:rsid w:val="00B233B3"/>
    <w:rsid w:val="00B236F0"/>
    <w:rsid w:val="00B238E2"/>
    <w:rsid w:val="00B24817"/>
    <w:rsid w:val="00B27EFA"/>
    <w:rsid w:val="00B3195D"/>
    <w:rsid w:val="00B31F0B"/>
    <w:rsid w:val="00B32AAF"/>
    <w:rsid w:val="00B3374A"/>
    <w:rsid w:val="00B339A4"/>
    <w:rsid w:val="00B33B67"/>
    <w:rsid w:val="00B33E3E"/>
    <w:rsid w:val="00B3430F"/>
    <w:rsid w:val="00B34860"/>
    <w:rsid w:val="00B34FE2"/>
    <w:rsid w:val="00B35A07"/>
    <w:rsid w:val="00B40D5F"/>
    <w:rsid w:val="00B41940"/>
    <w:rsid w:val="00B44C31"/>
    <w:rsid w:val="00B44D04"/>
    <w:rsid w:val="00B46F37"/>
    <w:rsid w:val="00B473C8"/>
    <w:rsid w:val="00B47DA9"/>
    <w:rsid w:val="00B502C1"/>
    <w:rsid w:val="00B51B90"/>
    <w:rsid w:val="00B52299"/>
    <w:rsid w:val="00B54BAD"/>
    <w:rsid w:val="00B55ACF"/>
    <w:rsid w:val="00B57816"/>
    <w:rsid w:val="00B57B1C"/>
    <w:rsid w:val="00B57CC7"/>
    <w:rsid w:val="00B57EBD"/>
    <w:rsid w:val="00B60295"/>
    <w:rsid w:val="00B61931"/>
    <w:rsid w:val="00B61CF9"/>
    <w:rsid w:val="00B62A39"/>
    <w:rsid w:val="00B650BD"/>
    <w:rsid w:val="00B663C7"/>
    <w:rsid w:val="00B66D58"/>
    <w:rsid w:val="00B67E69"/>
    <w:rsid w:val="00B702AE"/>
    <w:rsid w:val="00B705C4"/>
    <w:rsid w:val="00B71753"/>
    <w:rsid w:val="00B717DF"/>
    <w:rsid w:val="00B71850"/>
    <w:rsid w:val="00B732EE"/>
    <w:rsid w:val="00B7424B"/>
    <w:rsid w:val="00B7457D"/>
    <w:rsid w:val="00B7505A"/>
    <w:rsid w:val="00B75423"/>
    <w:rsid w:val="00B761B2"/>
    <w:rsid w:val="00B76A5E"/>
    <w:rsid w:val="00B76F99"/>
    <w:rsid w:val="00B774B7"/>
    <w:rsid w:val="00B775FB"/>
    <w:rsid w:val="00B77F9B"/>
    <w:rsid w:val="00B81082"/>
    <w:rsid w:val="00B8155E"/>
    <w:rsid w:val="00B8258F"/>
    <w:rsid w:val="00B83F83"/>
    <w:rsid w:val="00B84206"/>
    <w:rsid w:val="00B842E2"/>
    <w:rsid w:val="00B854CF"/>
    <w:rsid w:val="00B85871"/>
    <w:rsid w:val="00B867A8"/>
    <w:rsid w:val="00B875E1"/>
    <w:rsid w:val="00B87E36"/>
    <w:rsid w:val="00B90408"/>
    <w:rsid w:val="00B90784"/>
    <w:rsid w:val="00B9415F"/>
    <w:rsid w:val="00B9688C"/>
    <w:rsid w:val="00B97BAD"/>
    <w:rsid w:val="00BA187B"/>
    <w:rsid w:val="00BA3C69"/>
    <w:rsid w:val="00BA4A09"/>
    <w:rsid w:val="00BB0309"/>
    <w:rsid w:val="00BB0680"/>
    <w:rsid w:val="00BB170A"/>
    <w:rsid w:val="00BB19A6"/>
    <w:rsid w:val="00BB2B15"/>
    <w:rsid w:val="00BB2C1F"/>
    <w:rsid w:val="00BB496D"/>
    <w:rsid w:val="00BB6A00"/>
    <w:rsid w:val="00BB6B95"/>
    <w:rsid w:val="00BC023B"/>
    <w:rsid w:val="00BC07EB"/>
    <w:rsid w:val="00BC1515"/>
    <w:rsid w:val="00BC218A"/>
    <w:rsid w:val="00BC46C7"/>
    <w:rsid w:val="00BC6A52"/>
    <w:rsid w:val="00BC795D"/>
    <w:rsid w:val="00BC7FB5"/>
    <w:rsid w:val="00BD0C0D"/>
    <w:rsid w:val="00BD0CE8"/>
    <w:rsid w:val="00BD273F"/>
    <w:rsid w:val="00BD4426"/>
    <w:rsid w:val="00BD54FC"/>
    <w:rsid w:val="00BD5C10"/>
    <w:rsid w:val="00BD5CDF"/>
    <w:rsid w:val="00BD6A0E"/>
    <w:rsid w:val="00BD6EF4"/>
    <w:rsid w:val="00BD7619"/>
    <w:rsid w:val="00BD7B74"/>
    <w:rsid w:val="00BD7E9C"/>
    <w:rsid w:val="00BE01AB"/>
    <w:rsid w:val="00BE44DF"/>
    <w:rsid w:val="00BE5878"/>
    <w:rsid w:val="00BE5FA9"/>
    <w:rsid w:val="00BE6C9E"/>
    <w:rsid w:val="00BE74CA"/>
    <w:rsid w:val="00BF1266"/>
    <w:rsid w:val="00BF138F"/>
    <w:rsid w:val="00BF17FB"/>
    <w:rsid w:val="00BF5A3C"/>
    <w:rsid w:val="00BF64DE"/>
    <w:rsid w:val="00C00F6F"/>
    <w:rsid w:val="00C00FDB"/>
    <w:rsid w:val="00C01E0F"/>
    <w:rsid w:val="00C02CEF"/>
    <w:rsid w:val="00C04239"/>
    <w:rsid w:val="00C065AA"/>
    <w:rsid w:val="00C06D7A"/>
    <w:rsid w:val="00C10D19"/>
    <w:rsid w:val="00C1127A"/>
    <w:rsid w:val="00C113CB"/>
    <w:rsid w:val="00C11BC0"/>
    <w:rsid w:val="00C135A8"/>
    <w:rsid w:val="00C14059"/>
    <w:rsid w:val="00C14824"/>
    <w:rsid w:val="00C1545E"/>
    <w:rsid w:val="00C166A3"/>
    <w:rsid w:val="00C169F5"/>
    <w:rsid w:val="00C17518"/>
    <w:rsid w:val="00C203EF"/>
    <w:rsid w:val="00C20635"/>
    <w:rsid w:val="00C21717"/>
    <w:rsid w:val="00C22847"/>
    <w:rsid w:val="00C24392"/>
    <w:rsid w:val="00C24FD0"/>
    <w:rsid w:val="00C24FD6"/>
    <w:rsid w:val="00C260A1"/>
    <w:rsid w:val="00C26565"/>
    <w:rsid w:val="00C27252"/>
    <w:rsid w:val="00C31EEA"/>
    <w:rsid w:val="00C31F54"/>
    <w:rsid w:val="00C327BE"/>
    <w:rsid w:val="00C34080"/>
    <w:rsid w:val="00C3426F"/>
    <w:rsid w:val="00C34B39"/>
    <w:rsid w:val="00C35B4F"/>
    <w:rsid w:val="00C36585"/>
    <w:rsid w:val="00C404EA"/>
    <w:rsid w:val="00C425F4"/>
    <w:rsid w:val="00C429CB"/>
    <w:rsid w:val="00C42BB3"/>
    <w:rsid w:val="00C43C9F"/>
    <w:rsid w:val="00C45604"/>
    <w:rsid w:val="00C46DB5"/>
    <w:rsid w:val="00C524E4"/>
    <w:rsid w:val="00C53D31"/>
    <w:rsid w:val="00C545B4"/>
    <w:rsid w:val="00C57B26"/>
    <w:rsid w:val="00C57CCC"/>
    <w:rsid w:val="00C619C4"/>
    <w:rsid w:val="00C62969"/>
    <w:rsid w:val="00C64F0E"/>
    <w:rsid w:val="00C664F6"/>
    <w:rsid w:val="00C70364"/>
    <w:rsid w:val="00C70857"/>
    <w:rsid w:val="00C72901"/>
    <w:rsid w:val="00C734DD"/>
    <w:rsid w:val="00C738F8"/>
    <w:rsid w:val="00C74202"/>
    <w:rsid w:val="00C7445C"/>
    <w:rsid w:val="00C74686"/>
    <w:rsid w:val="00C74788"/>
    <w:rsid w:val="00C74AD8"/>
    <w:rsid w:val="00C75AAF"/>
    <w:rsid w:val="00C75C25"/>
    <w:rsid w:val="00C75F56"/>
    <w:rsid w:val="00C765C7"/>
    <w:rsid w:val="00C7667F"/>
    <w:rsid w:val="00C77779"/>
    <w:rsid w:val="00C80484"/>
    <w:rsid w:val="00C81316"/>
    <w:rsid w:val="00C81687"/>
    <w:rsid w:val="00C82386"/>
    <w:rsid w:val="00C8349F"/>
    <w:rsid w:val="00C842D5"/>
    <w:rsid w:val="00C843EF"/>
    <w:rsid w:val="00C85796"/>
    <w:rsid w:val="00C85A19"/>
    <w:rsid w:val="00C87731"/>
    <w:rsid w:val="00C87BD1"/>
    <w:rsid w:val="00C90737"/>
    <w:rsid w:val="00C90825"/>
    <w:rsid w:val="00C92CC1"/>
    <w:rsid w:val="00C93D82"/>
    <w:rsid w:val="00C940A9"/>
    <w:rsid w:val="00C94CA4"/>
    <w:rsid w:val="00C9568C"/>
    <w:rsid w:val="00C97D96"/>
    <w:rsid w:val="00CA0560"/>
    <w:rsid w:val="00CA0C85"/>
    <w:rsid w:val="00CA3F62"/>
    <w:rsid w:val="00CA42AE"/>
    <w:rsid w:val="00CA447C"/>
    <w:rsid w:val="00CA48B0"/>
    <w:rsid w:val="00CA48BF"/>
    <w:rsid w:val="00CA6B5D"/>
    <w:rsid w:val="00CA741D"/>
    <w:rsid w:val="00CB0ECC"/>
    <w:rsid w:val="00CB163E"/>
    <w:rsid w:val="00CB26DA"/>
    <w:rsid w:val="00CB2D00"/>
    <w:rsid w:val="00CB324C"/>
    <w:rsid w:val="00CB352B"/>
    <w:rsid w:val="00CB533C"/>
    <w:rsid w:val="00CB5B23"/>
    <w:rsid w:val="00CC089F"/>
    <w:rsid w:val="00CC2459"/>
    <w:rsid w:val="00CC3F36"/>
    <w:rsid w:val="00CC4CEA"/>
    <w:rsid w:val="00CC5E23"/>
    <w:rsid w:val="00CC5F47"/>
    <w:rsid w:val="00CC69F4"/>
    <w:rsid w:val="00CC6B98"/>
    <w:rsid w:val="00CC7341"/>
    <w:rsid w:val="00CC7F19"/>
    <w:rsid w:val="00CD18BA"/>
    <w:rsid w:val="00CD33FF"/>
    <w:rsid w:val="00CD3A2A"/>
    <w:rsid w:val="00CD435C"/>
    <w:rsid w:val="00CD4666"/>
    <w:rsid w:val="00CD46C7"/>
    <w:rsid w:val="00CD4A7B"/>
    <w:rsid w:val="00CD5145"/>
    <w:rsid w:val="00CD54FF"/>
    <w:rsid w:val="00CD6212"/>
    <w:rsid w:val="00CD71BC"/>
    <w:rsid w:val="00CD747D"/>
    <w:rsid w:val="00CE1342"/>
    <w:rsid w:val="00CE36B0"/>
    <w:rsid w:val="00CE46E8"/>
    <w:rsid w:val="00CE513C"/>
    <w:rsid w:val="00CE5484"/>
    <w:rsid w:val="00CF069F"/>
    <w:rsid w:val="00CF13A8"/>
    <w:rsid w:val="00CF1FEA"/>
    <w:rsid w:val="00CF218F"/>
    <w:rsid w:val="00CF3BD2"/>
    <w:rsid w:val="00CF3EB0"/>
    <w:rsid w:val="00CF4202"/>
    <w:rsid w:val="00CF441E"/>
    <w:rsid w:val="00CF4B0B"/>
    <w:rsid w:val="00CF568E"/>
    <w:rsid w:val="00CF6A85"/>
    <w:rsid w:val="00D00E9B"/>
    <w:rsid w:val="00D017A0"/>
    <w:rsid w:val="00D0293E"/>
    <w:rsid w:val="00D02972"/>
    <w:rsid w:val="00D03F44"/>
    <w:rsid w:val="00D04194"/>
    <w:rsid w:val="00D044A3"/>
    <w:rsid w:val="00D04FE5"/>
    <w:rsid w:val="00D05E75"/>
    <w:rsid w:val="00D06448"/>
    <w:rsid w:val="00D0782D"/>
    <w:rsid w:val="00D10786"/>
    <w:rsid w:val="00D10F12"/>
    <w:rsid w:val="00D13378"/>
    <w:rsid w:val="00D13558"/>
    <w:rsid w:val="00D13703"/>
    <w:rsid w:val="00D142F4"/>
    <w:rsid w:val="00D14AED"/>
    <w:rsid w:val="00D17749"/>
    <w:rsid w:val="00D1796D"/>
    <w:rsid w:val="00D20199"/>
    <w:rsid w:val="00D2113C"/>
    <w:rsid w:val="00D212FF"/>
    <w:rsid w:val="00D252EB"/>
    <w:rsid w:val="00D266B1"/>
    <w:rsid w:val="00D26954"/>
    <w:rsid w:val="00D27B20"/>
    <w:rsid w:val="00D27DED"/>
    <w:rsid w:val="00D27FDE"/>
    <w:rsid w:val="00D31D78"/>
    <w:rsid w:val="00D32174"/>
    <w:rsid w:val="00D326EF"/>
    <w:rsid w:val="00D3336C"/>
    <w:rsid w:val="00D349B3"/>
    <w:rsid w:val="00D37942"/>
    <w:rsid w:val="00D406D3"/>
    <w:rsid w:val="00D42963"/>
    <w:rsid w:val="00D42D2F"/>
    <w:rsid w:val="00D43FC5"/>
    <w:rsid w:val="00D44C8A"/>
    <w:rsid w:val="00D45519"/>
    <w:rsid w:val="00D45757"/>
    <w:rsid w:val="00D47320"/>
    <w:rsid w:val="00D50DD9"/>
    <w:rsid w:val="00D52499"/>
    <w:rsid w:val="00D52630"/>
    <w:rsid w:val="00D5275C"/>
    <w:rsid w:val="00D54ABF"/>
    <w:rsid w:val="00D5541B"/>
    <w:rsid w:val="00D555E5"/>
    <w:rsid w:val="00D55A8B"/>
    <w:rsid w:val="00D57026"/>
    <w:rsid w:val="00D57A7E"/>
    <w:rsid w:val="00D57D3C"/>
    <w:rsid w:val="00D57F10"/>
    <w:rsid w:val="00D60BC4"/>
    <w:rsid w:val="00D617F2"/>
    <w:rsid w:val="00D621E7"/>
    <w:rsid w:val="00D63C5C"/>
    <w:rsid w:val="00D63F38"/>
    <w:rsid w:val="00D6416D"/>
    <w:rsid w:val="00D64A6B"/>
    <w:rsid w:val="00D64F16"/>
    <w:rsid w:val="00D64FA6"/>
    <w:rsid w:val="00D64FB0"/>
    <w:rsid w:val="00D66C0F"/>
    <w:rsid w:val="00D67695"/>
    <w:rsid w:val="00D71096"/>
    <w:rsid w:val="00D71C7E"/>
    <w:rsid w:val="00D74B16"/>
    <w:rsid w:val="00D75149"/>
    <w:rsid w:val="00D75390"/>
    <w:rsid w:val="00D765EC"/>
    <w:rsid w:val="00D768A2"/>
    <w:rsid w:val="00D768A7"/>
    <w:rsid w:val="00D76B03"/>
    <w:rsid w:val="00D773E7"/>
    <w:rsid w:val="00D81C4B"/>
    <w:rsid w:val="00D82569"/>
    <w:rsid w:val="00D8324E"/>
    <w:rsid w:val="00D83832"/>
    <w:rsid w:val="00D83C20"/>
    <w:rsid w:val="00D8468C"/>
    <w:rsid w:val="00D86A82"/>
    <w:rsid w:val="00D86CBD"/>
    <w:rsid w:val="00D876BF"/>
    <w:rsid w:val="00D879F1"/>
    <w:rsid w:val="00D87BB3"/>
    <w:rsid w:val="00D909B8"/>
    <w:rsid w:val="00D90F98"/>
    <w:rsid w:val="00D91BE7"/>
    <w:rsid w:val="00D934E1"/>
    <w:rsid w:val="00D94743"/>
    <w:rsid w:val="00D95F8F"/>
    <w:rsid w:val="00D968F8"/>
    <w:rsid w:val="00DA04F8"/>
    <w:rsid w:val="00DA055B"/>
    <w:rsid w:val="00DA1115"/>
    <w:rsid w:val="00DA1D12"/>
    <w:rsid w:val="00DA3191"/>
    <w:rsid w:val="00DA3503"/>
    <w:rsid w:val="00DA3B4A"/>
    <w:rsid w:val="00DA54D5"/>
    <w:rsid w:val="00DA5C46"/>
    <w:rsid w:val="00DA72E2"/>
    <w:rsid w:val="00DA76A3"/>
    <w:rsid w:val="00DA7F0C"/>
    <w:rsid w:val="00DB0B18"/>
    <w:rsid w:val="00DB32FB"/>
    <w:rsid w:val="00DB411F"/>
    <w:rsid w:val="00DB4754"/>
    <w:rsid w:val="00DB4A33"/>
    <w:rsid w:val="00DB569D"/>
    <w:rsid w:val="00DB77DD"/>
    <w:rsid w:val="00DB7D8A"/>
    <w:rsid w:val="00DB7F1D"/>
    <w:rsid w:val="00DC2428"/>
    <w:rsid w:val="00DC2D25"/>
    <w:rsid w:val="00DC492C"/>
    <w:rsid w:val="00DC4BE9"/>
    <w:rsid w:val="00DC7FC5"/>
    <w:rsid w:val="00DD0BFF"/>
    <w:rsid w:val="00DD3A00"/>
    <w:rsid w:val="00DD3D46"/>
    <w:rsid w:val="00DD458F"/>
    <w:rsid w:val="00DD6645"/>
    <w:rsid w:val="00DE007A"/>
    <w:rsid w:val="00DE0BA9"/>
    <w:rsid w:val="00DE4412"/>
    <w:rsid w:val="00DE48F8"/>
    <w:rsid w:val="00DE4A03"/>
    <w:rsid w:val="00DE5B8E"/>
    <w:rsid w:val="00DE73F8"/>
    <w:rsid w:val="00DF04C4"/>
    <w:rsid w:val="00DF140E"/>
    <w:rsid w:val="00DF668B"/>
    <w:rsid w:val="00DF690F"/>
    <w:rsid w:val="00DF6F12"/>
    <w:rsid w:val="00DF7353"/>
    <w:rsid w:val="00DF7C4A"/>
    <w:rsid w:val="00DF7E18"/>
    <w:rsid w:val="00E00289"/>
    <w:rsid w:val="00E00E53"/>
    <w:rsid w:val="00E01531"/>
    <w:rsid w:val="00E02BE9"/>
    <w:rsid w:val="00E02D8A"/>
    <w:rsid w:val="00E03233"/>
    <w:rsid w:val="00E03376"/>
    <w:rsid w:val="00E04500"/>
    <w:rsid w:val="00E05F12"/>
    <w:rsid w:val="00E0605B"/>
    <w:rsid w:val="00E068AD"/>
    <w:rsid w:val="00E06C69"/>
    <w:rsid w:val="00E06D78"/>
    <w:rsid w:val="00E072E7"/>
    <w:rsid w:val="00E11550"/>
    <w:rsid w:val="00E12181"/>
    <w:rsid w:val="00E12FF3"/>
    <w:rsid w:val="00E13032"/>
    <w:rsid w:val="00E132E8"/>
    <w:rsid w:val="00E15471"/>
    <w:rsid w:val="00E16CA1"/>
    <w:rsid w:val="00E21725"/>
    <w:rsid w:val="00E22334"/>
    <w:rsid w:val="00E23EB6"/>
    <w:rsid w:val="00E250A7"/>
    <w:rsid w:val="00E25313"/>
    <w:rsid w:val="00E254F4"/>
    <w:rsid w:val="00E25579"/>
    <w:rsid w:val="00E26CB9"/>
    <w:rsid w:val="00E3102D"/>
    <w:rsid w:val="00E314CF"/>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508F3"/>
    <w:rsid w:val="00E52E60"/>
    <w:rsid w:val="00E535D3"/>
    <w:rsid w:val="00E54115"/>
    <w:rsid w:val="00E543BB"/>
    <w:rsid w:val="00E55583"/>
    <w:rsid w:val="00E56AD7"/>
    <w:rsid w:val="00E56F7D"/>
    <w:rsid w:val="00E575EB"/>
    <w:rsid w:val="00E60233"/>
    <w:rsid w:val="00E61D38"/>
    <w:rsid w:val="00E62D2F"/>
    <w:rsid w:val="00E631A1"/>
    <w:rsid w:val="00E65572"/>
    <w:rsid w:val="00E66704"/>
    <w:rsid w:val="00E70766"/>
    <w:rsid w:val="00E70B4A"/>
    <w:rsid w:val="00E711FF"/>
    <w:rsid w:val="00E727BF"/>
    <w:rsid w:val="00E75983"/>
    <w:rsid w:val="00E75D2C"/>
    <w:rsid w:val="00E80244"/>
    <w:rsid w:val="00E811A3"/>
    <w:rsid w:val="00E8178C"/>
    <w:rsid w:val="00E82A4E"/>
    <w:rsid w:val="00E847A9"/>
    <w:rsid w:val="00E86433"/>
    <w:rsid w:val="00E87B86"/>
    <w:rsid w:val="00E87C78"/>
    <w:rsid w:val="00E90C42"/>
    <w:rsid w:val="00E90CA2"/>
    <w:rsid w:val="00E91376"/>
    <w:rsid w:val="00E915F5"/>
    <w:rsid w:val="00E929CB"/>
    <w:rsid w:val="00E935B9"/>
    <w:rsid w:val="00E93A58"/>
    <w:rsid w:val="00E93AE6"/>
    <w:rsid w:val="00E941BB"/>
    <w:rsid w:val="00E9584D"/>
    <w:rsid w:val="00E95BCD"/>
    <w:rsid w:val="00E9752E"/>
    <w:rsid w:val="00EA0ABF"/>
    <w:rsid w:val="00EA14DF"/>
    <w:rsid w:val="00EA1A04"/>
    <w:rsid w:val="00EA2D2C"/>
    <w:rsid w:val="00EA31B1"/>
    <w:rsid w:val="00EA3CD2"/>
    <w:rsid w:val="00EA4B50"/>
    <w:rsid w:val="00EA7E9D"/>
    <w:rsid w:val="00EA7EBB"/>
    <w:rsid w:val="00EA7FD9"/>
    <w:rsid w:val="00EB1BCB"/>
    <w:rsid w:val="00EB1E7F"/>
    <w:rsid w:val="00EB2BA9"/>
    <w:rsid w:val="00EB33A0"/>
    <w:rsid w:val="00EB3588"/>
    <w:rsid w:val="00EB37FC"/>
    <w:rsid w:val="00EB4AFC"/>
    <w:rsid w:val="00EB52D8"/>
    <w:rsid w:val="00EB5893"/>
    <w:rsid w:val="00EB6881"/>
    <w:rsid w:val="00EC013E"/>
    <w:rsid w:val="00EC0142"/>
    <w:rsid w:val="00EC04CD"/>
    <w:rsid w:val="00EC1507"/>
    <w:rsid w:val="00EC2691"/>
    <w:rsid w:val="00EC3454"/>
    <w:rsid w:val="00EC41D4"/>
    <w:rsid w:val="00EC5481"/>
    <w:rsid w:val="00EC5DB3"/>
    <w:rsid w:val="00EC636A"/>
    <w:rsid w:val="00EC6BC2"/>
    <w:rsid w:val="00EC71FA"/>
    <w:rsid w:val="00EC741B"/>
    <w:rsid w:val="00ED16B0"/>
    <w:rsid w:val="00ED2116"/>
    <w:rsid w:val="00ED2723"/>
    <w:rsid w:val="00ED34EE"/>
    <w:rsid w:val="00ED59AC"/>
    <w:rsid w:val="00ED5D84"/>
    <w:rsid w:val="00ED6140"/>
    <w:rsid w:val="00ED680B"/>
    <w:rsid w:val="00ED7EB3"/>
    <w:rsid w:val="00EE0081"/>
    <w:rsid w:val="00EE0371"/>
    <w:rsid w:val="00EE0AFA"/>
    <w:rsid w:val="00EE0DBD"/>
    <w:rsid w:val="00EE135C"/>
    <w:rsid w:val="00EE19AD"/>
    <w:rsid w:val="00EE25EE"/>
    <w:rsid w:val="00EE2A14"/>
    <w:rsid w:val="00EE2B1F"/>
    <w:rsid w:val="00EE4213"/>
    <w:rsid w:val="00EE466D"/>
    <w:rsid w:val="00EE6A45"/>
    <w:rsid w:val="00EE730D"/>
    <w:rsid w:val="00EF1ABD"/>
    <w:rsid w:val="00EF1FFB"/>
    <w:rsid w:val="00EF2BC4"/>
    <w:rsid w:val="00EF2E50"/>
    <w:rsid w:val="00EF3551"/>
    <w:rsid w:val="00EF3BCB"/>
    <w:rsid w:val="00EF4240"/>
    <w:rsid w:val="00EF48D3"/>
    <w:rsid w:val="00EF5661"/>
    <w:rsid w:val="00EF56E4"/>
    <w:rsid w:val="00F0156A"/>
    <w:rsid w:val="00F0166E"/>
    <w:rsid w:val="00F01FF6"/>
    <w:rsid w:val="00F037AF"/>
    <w:rsid w:val="00F04503"/>
    <w:rsid w:val="00F04CE2"/>
    <w:rsid w:val="00F04D46"/>
    <w:rsid w:val="00F062AF"/>
    <w:rsid w:val="00F06BD5"/>
    <w:rsid w:val="00F07B69"/>
    <w:rsid w:val="00F1080C"/>
    <w:rsid w:val="00F1088E"/>
    <w:rsid w:val="00F11C01"/>
    <w:rsid w:val="00F1361C"/>
    <w:rsid w:val="00F1440F"/>
    <w:rsid w:val="00F14918"/>
    <w:rsid w:val="00F15D4E"/>
    <w:rsid w:val="00F1618A"/>
    <w:rsid w:val="00F162E3"/>
    <w:rsid w:val="00F16697"/>
    <w:rsid w:val="00F17E70"/>
    <w:rsid w:val="00F21D50"/>
    <w:rsid w:val="00F226BE"/>
    <w:rsid w:val="00F2298F"/>
    <w:rsid w:val="00F244A2"/>
    <w:rsid w:val="00F24DE3"/>
    <w:rsid w:val="00F3161D"/>
    <w:rsid w:val="00F31B28"/>
    <w:rsid w:val="00F3228B"/>
    <w:rsid w:val="00F32BF8"/>
    <w:rsid w:val="00F32CAF"/>
    <w:rsid w:val="00F32CB7"/>
    <w:rsid w:val="00F33665"/>
    <w:rsid w:val="00F34083"/>
    <w:rsid w:val="00F34EF4"/>
    <w:rsid w:val="00F35FC6"/>
    <w:rsid w:val="00F3625B"/>
    <w:rsid w:val="00F37440"/>
    <w:rsid w:val="00F37D35"/>
    <w:rsid w:val="00F41A10"/>
    <w:rsid w:val="00F436F1"/>
    <w:rsid w:val="00F447C7"/>
    <w:rsid w:val="00F44E59"/>
    <w:rsid w:val="00F46CA9"/>
    <w:rsid w:val="00F507A0"/>
    <w:rsid w:val="00F50FA5"/>
    <w:rsid w:val="00F52C36"/>
    <w:rsid w:val="00F52D62"/>
    <w:rsid w:val="00F56601"/>
    <w:rsid w:val="00F64826"/>
    <w:rsid w:val="00F649E0"/>
    <w:rsid w:val="00F6613F"/>
    <w:rsid w:val="00F700B4"/>
    <w:rsid w:val="00F709EA"/>
    <w:rsid w:val="00F7156D"/>
    <w:rsid w:val="00F71FF5"/>
    <w:rsid w:val="00F730C6"/>
    <w:rsid w:val="00F748AE"/>
    <w:rsid w:val="00F74A56"/>
    <w:rsid w:val="00F75312"/>
    <w:rsid w:val="00F7560C"/>
    <w:rsid w:val="00F7715B"/>
    <w:rsid w:val="00F776AB"/>
    <w:rsid w:val="00F77C94"/>
    <w:rsid w:val="00F77F27"/>
    <w:rsid w:val="00F806D9"/>
    <w:rsid w:val="00F80FDE"/>
    <w:rsid w:val="00F81AB6"/>
    <w:rsid w:val="00F81C45"/>
    <w:rsid w:val="00F824C6"/>
    <w:rsid w:val="00F82729"/>
    <w:rsid w:val="00F83403"/>
    <w:rsid w:val="00F85F36"/>
    <w:rsid w:val="00F86022"/>
    <w:rsid w:val="00F86D39"/>
    <w:rsid w:val="00F87521"/>
    <w:rsid w:val="00F908E9"/>
    <w:rsid w:val="00F927BB"/>
    <w:rsid w:val="00F92894"/>
    <w:rsid w:val="00F932AA"/>
    <w:rsid w:val="00F93733"/>
    <w:rsid w:val="00F938A0"/>
    <w:rsid w:val="00F94586"/>
    <w:rsid w:val="00F94653"/>
    <w:rsid w:val="00F9465A"/>
    <w:rsid w:val="00F9517A"/>
    <w:rsid w:val="00F968DA"/>
    <w:rsid w:val="00F96E07"/>
    <w:rsid w:val="00F97424"/>
    <w:rsid w:val="00F97716"/>
    <w:rsid w:val="00F97B3C"/>
    <w:rsid w:val="00FA003B"/>
    <w:rsid w:val="00FA1BAC"/>
    <w:rsid w:val="00FA3793"/>
    <w:rsid w:val="00FA59C7"/>
    <w:rsid w:val="00FA6C0B"/>
    <w:rsid w:val="00FA76F0"/>
    <w:rsid w:val="00FB03F2"/>
    <w:rsid w:val="00FB352B"/>
    <w:rsid w:val="00FB37FF"/>
    <w:rsid w:val="00FB3855"/>
    <w:rsid w:val="00FB5188"/>
    <w:rsid w:val="00FB51E8"/>
    <w:rsid w:val="00FC26FF"/>
    <w:rsid w:val="00FC2A9F"/>
    <w:rsid w:val="00FC2C72"/>
    <w:rsid w:val="00FC3480"/>
    <w:rsid w:val="00FC4972"/>
    <w:rsid w:val="00FC4CA7"/>
    <w:rsid w:val="00FC4ED0"/>
    <w:rsid w:val="00FC6E22"/>
    <w:rsid w:val="00FC7704"/>
    <w:rsid w:val="00FC7BB0"/>
    <w:rsid w:val="00FD077D"/>
    <w:rsid w:val="00FD0946"/>
    <w:rsid w:val="00FD1909"/>
    <w:rsid w:val="00FD267C"/>
    <w:rsid w:val="00FD3E52"/>
    <w:rsid w:val="00FD470B"/>
    <w:rsid w:val="00FD7335"/>
    <w:rsid w:val="00FD73E8"/>
    <w:rsid w:val="00FE1E82"/>
    <w:rsid w:val="00FE24C8"/>
    <w:rsid w:val="00FE2B88"/>
    <w:rsid w:val="00FE3112"/>
    <w:rsid w:val="00FE3C7B"/>
    <w:rsid w:val="00FE4F07"/>
    <w:rsid w:val="00FE573E"/>
    <w:rsid w:val="00FE5786"/>
    <w:rsid w:val="00FE5F09"/>
    <w:rsid w:val="00FE69B2"/>
    <w:rsid w:val="00FE6E13"/>
    <w:rsid w:val="00FE7834"/>
    <w:rsid w:val="00FF0BA2"/>
    <w:rsid w:val="00FF1AB4"/>
    <w:rsid w:val="00FF2819"/>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uiPriority="0"/>
    <w:lsdException w:name="index heading" w:uiPriority="0"/>
    <w:lsdException w:name="caption"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rsid w:val="000778EB"/>
    <w:pPr>
      <w:spacing w:before="120" w:after="0"/>
    </w:pPr>
    <w:rPr>
      <w:lang w:val="x-none"/>
    </w:rPr>
  </w:style>
  <w:style w:type="character" w:customStyle="1" w:styleId="Char9">
    <w:name w:val="批注文字 Char"/>
    <w:basedOn w:val="a0"/>
    <w:link w:val="af2"/>
    <w:uiPriority w:val="99"/>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2524D-C7EE-4D8E-871A-B84438AA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14843</TotalTime>
  <Pages>2</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CATT_#112bis</cp:lastModifiedBy>
  <cp:revision>2686</cp:revision>
  <dcterms:created xsi:type="dcterms:W3CDTF">2023-07-14T07:47:00Z</dcterms:created>
  <dcterms:modified xsi:type="dcterms:W3CDTF">2024-10-03T06:29:00Z</dcterms:modified>
</cp:coreProperties>
</file>